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964CEF">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lang w:val="en-US" w:eastAsia="zh-CN"/>
        </w:rPr>
      </w:pPr>
    </w:p>
    <w:p w14:paraId="3027F806">
      <w:pPr>
        <w:pStyle w:val="2"/>
        <w:rPr>
          <w:rFonts w:hint="default"/>
          <w:lang w:val="en-US" w:eastAsia="zh-CN"/>
        </w:rPr>
      </w:pPr>
    </w:p>
    <w:p w14:paraId="5B227104">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eastAsia" w:ascii="Times New Roman" w:hAnsi="Times New Roman" w:eastAsia="宋体" w:cs="Times New Roman"/>
          <w:b/>
          <w:bCs/>
          <w:color w:val="auto"/>
          <w:kern w:val="2"/>
          <w:sz w:val="36"/>
          <w:szCs w:val="36"/>
          <w:lang w:eastAsia="zh-CN"/>
        </w:rPr>
      </w:pPr>
      <w:r>
        <w:rPr>
          <w:rFonts w:hint="eastAsia" w:ascii="Times New Roman" w:hAnsi="Times New Roman" w:eastAsia="宋体" w:cs="Times New Roman"/>
          <w:b/>
          <w:bCs/>
          <w:color w:val="auto"/>
          <w:kern w:val="2"/>
          <w:sz w:val="36"/>
          <w:szCs w:val="36"/>
          <w:lang w:val="en-US" w:eastAsia="zh-CN"/>
        </w:rPr>
        <w:t>新乡市科博特起重机械</w:t>
      </w:r>
      <w:r>
        <w:rPr>
          <w:rFonts w:hint="eastAsia" w:ascii="Times New Roman" w:hAnsi="Times New Roman" w:eastAsia="宋体" w:cs="Times New Roman"/>
          <w:b/>
          <w:bCs/>
          <w:color w:val="auto"/>
          <w:kern w:val="2"/>
          <w:sz w:val="36"/>
          <w:szCs w:val="36"/>
          <w:lang w:eastAsia="zh-CN"/>
        </w:rPr>
        <w:t>有限公司</w:t>
      </w:r>
      <w:bookmarkStart w:id="0" w:name="_Hlk142052254"/>
      <w:r>
        <w:rPr>
          <w:rFonts w:hint="eastAsia" w:ascii="Times New Roman" w:hAnsi="Times New Roman" w:eastAsia="宋体" w:cs="Times New Roman"/>
          <w:b/>
          <w:bCs/>
          <w:color w:val="auto"/>
          <w:kern w:val="2"/>
          <w:sz w:val="36"/>
          <w:szCs w:val="36"/>
          <w:lang w:eastAsia="zh-CN"/>
        </w:rPr>
        <w:t>年产</w:t>
      </w:r>
      <w:r>
        <w:rPr>
          <w:rFonts w:hint="eastAsia" w:ascii="Times New Roman" w:hAnsi="Times New Roman" w:eastAsia="宋体" w:cs="Times New Roman"/>
          <w:b/>
          <w:bCs/>
          <w:color w:val="auto"/>
          <w:kern w:val="2"/>
          <w:sz w:val="36"/>
          <w:szCs w:val="36"/>
          <w:lang w:val="en-US" w:eastAsia="zh-CN"/>
        </w:rPr>
        <w:t>1.2万吨道轨交通配件</w:t>
      </w:r>
      <w:r>
        <w:rPr>
          <w:rFonts w:hint="eastAsia" w:ascii="Times New Roman" w:hAnsi="Times New Roman" w:eastAsia="宋体" w:cs="Times New Roman"/>
          <w:b/>
          <w:bCs/>
          <w:color w:val="auto"/>
          <w:kern w:val="2"/>
          <w:sz w:val="36"/>
          <w:szCs w:val="36"/>
          <w:lang w:eastAsia="zh-CN"/>
        </w:rPr>
        <w:t>项目</w:t>
      </w:r>
      <w:bookmarkEnd w:id="0"/>
      <w:r>
        <w:rPr>
          <w:rFonts w:hint="eastAsia" w:ascii="Times New Roman" w:hAnsi="Times New Roman" w:eastAsia="宋体" w:cs="Times New Roman"/>
          <w:b/>
          <w:bCs/>
          <w:color w:val="auto"/>
          <w:kern w:val="2"/>
          <w:sz w:val="36"/>
          <w:szCs w:val="36"/>
          <w:lang w:eastAsia="zh-CN"/>
        </w:rPr>
        <w:t>（</w:t>
      </w:r>
      <w:r>
        <w:rPr>
          <w:rFonts w:hint="eastAsia" w:ascii="Times New Roman" w:hAnsi="Times New Roman" w:eastAsia="宋体" w:cs="Times New Roman"/>
          <w:b/>
          <w:bCs/>
          <w:color w:val="auto"/>
          <w:kern w:val="2"/>
          <w:sz w:val="36"/>
          <w:szCs w:val="36"/>
          <w:lang w:val="en-US" w:eastAsia="zh-CN"/>
        </w:rPr>
        <w:t>一期</w:t>
      </w:r>
      <w:r>
        <w:rPr>
          <w:rFonts w:hint="eastAsia" w:ascii="Times New Roman" w:hAnsi="Times New Roman" w:eastAsia="宋体" w:cs="Times New Roman"/>
          <w:b/>
          <w:bCs/>
          <w:color w:val="auto"/>
          <w:kern w:val="2"/>
          <w:sz w:val="36"/>
          <w:szCs w:val="36"/>
          <w:lang w:eastAsia="zh-CN"/>
        </w:rPr>
        <w:t>）</w:t>
      </w:r>
      <w:r>
        <w:rPr>
          <w:rFonts w:hint="default" w:ascii="Times New Roman" w:hAnsi="Times New Roman" w:eastAsia="宋体" w:cs="Times New Roman"/>
          <w:b/>
          <w:bCs/>
          <w:color w:val="auto"/>
          <w:kern w:val="2"/>
          <w:sz w:val="36"/>
          <w:szCs w:val="36"/>
          <w:lang w:eastAsia="zh-CN"/>
        </w:rPr>
        <w:t>竣工环境保护验收监测报告表</w:t>
      </w:r>
    </w:p>
    <w:p w14:paraId="79B92FCD">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1C364FA7">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673BDAA4">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1564C242">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72CB34B6">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36AB657E">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58FBE5AE">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36"/>
          <w:szCs w:val="36"/>
        </w:rPr>
      </w:pPr>
    </w:p>
    <w:p w14:paraId="187DD38F">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0320A2B7">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4D14711C">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023BE617">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09132CDA">
      <w:pPr>
        <w:keepNext w:val="0"/>
        <w:keepLines w:val="0"/>
        <w:pageBreakBefore w:val="0"/>
        <w:widowControl w:val="0"/>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7F9BAC1A">
      <w:pPr>
        <w:keepNext w:val="0"/>
        <w:keepLines w:val="0"/>
        <w:pageBreakBefore w:val="0"/>
        <w:widowControl w:val="0"/>
        <w:kinsoku/>
        <w:wordWrap/>
        <w:overflowPunct/>
        <w:topLinePunct w:val="0"/>
        <w:autoSpaceDE/>
        <w:autoSpaceDN/>
        <w:bidi w:val="0"/>
        <w:adjustRightInd/>
        <w:snapToGrid/>
        <w:spacing w:after="0" w:afterLines="0" w:line="520" w:lineRule="exact"/>
        <w:ind w:firstLine="1600" w:firstLineChars="500"/>
        <w:jc w:val="both"/>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r>
        <w:rPr>
          <w:rFonts w:hint="default" w:ascii="Times New Roman" w:hAnsi="Times New Roman" w:cs="Times New Roman" w:eastAsiaTheme="minorEastAsia"/>
          <w:b w:val="0"/>
          <w:bCs w:val="0"/>
          <w:color w:val="auto"/>
          <w:kern w:val="2"/>
          <w:sz w:val="32"/>
          <w:szCs w:val="32"/>
          <w:u w:val="none"/>
          <w:lang w:val="en-US" w:eastAsia="zh-CN"/>
        </w:rPr>
        <w:t>建设单位：</w:t>
      </w:r>
      <w:r>
        <w:rPr>
          <w:rFonts w:hint="eastAsia" w:ascii="Times New Roman" w:hAnsi="Times New Roman" w:cs="Times New Roman" w:eastAsiaTheme="minorEastAsia"/>
          <w:b w:val="0"/>
          <w:bCs w:val="0"/>
          <w:color w:val="auto"/>
          <w:kern w:val="2"/>
          <w:sz w:val="32"/>
          <w:szCs w:val="32"/>
          <w:u w:val="none"/>
          <w:lang w:val="en-US" w:eastAsia="zh-CN"/>
        </w:rPr>
        <w:t>新乡市科博特起重机械有限公</w:t>
      </w:r>
      <w:r>
        <w:rPr>
          <w:rFonts w:hint="default" w:ascii="Times New Roman" w:hAnsi="Times New Roman" w:cs="Times New Roman" w:eastAsiaTheme="minorEastAsia"/>
          <w:b w:val="0"/>
          <w:bCs w:val="0"/>
          <w:color w:val="auto"/>
          <w:kern w:val="2"/>
          <w:sz w:val="32"/>
          <w:szCs w:val="32"/>
          <w:u w:val="none"/>
          <w:lang w:val="en-US" w:eastAsia="zh-CN"/>
        </w:rPr>
        <w:t>司</w:t>
      </w:r>
    </w:p>
    <w:p w14:paraId="0B20BBBC">
      <w:pPr>
        <w:keepNext w:val="0"/>
        <w:keepLines w:val="0"/>
        <w:pageBreakBefore w:val="0"/>
        <w:widowControl w:val="0"/>
        <w:kinsoku/>
        <w:wordWrap/>
        <w:overflowPunct/>
        <w:topLinePunct w:val="0"/>
        <w:autoSpaceDE/>
        <w:autoSpaceDN/>
        <w:bidi w:val="0"/>
        <w:adjustRightInd/>
        <w:snapToGrid/>
        <w:spacing w:after="0" w:afterLines="0" w:line="520" w:lineRule="exact"/>
        <w:ind w:firstLine="1600" w:firstLineChars="500"/>
        <w:jc w:val="both"/>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r>
        <w:rPr>
          <w:rFonts w:hint="default" w:ascii="Times New Roman" w:hAnsi="Times New Roman" w:cs="Times New Roman" w:eastAsiaTheme="minorEastAsia"/>
          <w:b w:val="0"/>
          <w:bCs w:val="0"/>
          <w:color w:val="auto"/>
          <w:kern w:val="2"/>
          <w:sz w:val="32"/>
          <w:szCs w:val="32"/>
          <w:u w:val="none"/>
          <w:lang w:val="en-US" w:eastAsia="zh-CN"/>
        </w:rPr>
        <w:t>编制单位：</w:t>
      </w:r>
      <w:r>
        <w:rPr>
          <w:rFonts w:hint="eastAsia" w:ascii="Times New Roman" w:hAnsi="Times New Roman" w:cs="Times New Roman" w:eastAsiaTheme="minorEastAsia"/>
          <w:b w:val="0"/>
          <w:bCs w:val="0"/>
          <w:color w:val="auto"/>
          <w:kern w:val="2"/>
          <w:sz w:val="32"/>
          <w:szCs w:val="32"/>
          <w:u w:val="none"/>
          <w:lang w:val="en-US" w:eastAsia="zh-CN"/>
        </w:rPr>
        <w:t>新乡市科博特起重机械有限公</w:t>
      </w:r>
      <w:r>
        <w:rPr>
          <w:rFonts w:hint="default" w:ascii="Times New Roman" w:hAnsi="Times New Roman" w:cs="Times New Roman" w:eastAsiaTheme="minorEastAsia"/>
          <w:b w:val="0"/>
          <w:bCs w:val="0"/>
          <w:color w:val="auto"/>
          <w:kern w:val="2"/>
          <w:sz w:val="32"/>
          <w:szCs w:val="32"/>
          <w:u w:val="none"/>
          <w:lang w:val="en-US" w:eastAsia="zh-CN"/>
        </w:rPr>
        <w:t>司</w:t>
      </w:r>
    </w:p>
    <w:p w14:paraId="08A7A15B">
      <w:pPr>
        <w:keepNext w:val="0"/>
        <w:keepLines w:val="0"/>
        <w:pageBreakBefore w:val="0"/>
        <w:widowControl w:val="0"/>
        <w:kinsoku/>
        <w:wordWrap/>
        <w:overflowPunct/>
        <w:topLinePunct w:val="0"/>
        <w:autoSpaceDE/>
        <w:autoSpaceDN/>
        <w:bidi w:val="0"/>
        <w:adjustRightInd/>
        <w:snapToGrid/>
        <w:spacing w:after="0" w:afterLines="0" w:line="520" w:lineRule="exact"/>
        <w:ind w:firstLine="1600" w:firstLineChars="500"/>
        <w:jc w:val="both"/>
        <w:textAlignment w:val="auto"/>
        <w:outlineLvl w:val="9"/>
        <w:rPr>
          <w:rFonts w:hint="default" w:ascii="Times New Roman" w:hAnsi="Times New Roman" w:cs="Times New Roman" w:eastAsiaTheme="minorEastAsia"/>
          <w:b w:val="0"/>
          <w:bCs w:val="0"/>
          <w:color w:val="auto"/>
          <w:kern w:val="2"/>
          <w:sz w:val="32"/>
          <w:szCs w:val="32"/>
          <w:u w:val="none"/>
          <w:lang w:val="en-US" w:eastAsia="zh-CN"/>
        </w:rPr>
      </w:pPr>
    </w:p>
    <w:p w14:paraId="64E92AC8">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cs="Times New Roman" w:eastAsiaTheme="minorEastAsia"/>
          <w:b w:val="0"/>
          <w:bCs w:val="0"/>
          <w:color w:val="auto"/>
          <w:kern w:val="2"/>
          <w:sz w:val="32"/>
          <w:szCs w:val="32"/>
          <w:u w:val="none"/>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cs="Times New Roman" w:eastAsiaTheme="minorEastAsia"/>
          <w:b w:val="0"/>
          <w:bCs w:val="0"/>
          <w:color w:val="auto"/>
          <w:kern w:val="2"/>
          <w:sz w:val="32"/>
          <w:szCs w:val="32"/>
          <w:u w:val="none"/>
          <w:lang w:val="en-US" w:eastAsia="zh-CN"/>
        </w:rPr>
        <w:t>202</w:t>
      </w:r>
      <w:r>
        <w:rPr>
          <w:rFonts w:hint="eastAsia" w:ascii="Times New Roman" w:hAnsi="Times New Roman" w:cs="Times New Roman" w:eastAsiaTheme="minorEastAsia"/>
          <w:b w:val="0"/>
          <w:bCs w:val="0"/>
          <w:color w:val="auto"/>
          <w:kern w:val="2"/>
          <w:sz w:val="32"/>
          <w:szCs w:val="32"/>
          <w:u w:val="none"/>
          <w:lang w:val="en-US" w:eastAsia="zh-CN"/>
        </w:rPr>
        <w:t>5年9</w:t>
      </w:r>
      <w:r>
        <w:rPr>
          <w:rFonts w:hint="default" w:ascii="Times New Roman" w:hAnsi="Times New Roman" w:cs="Times New Roman" w:eastAsiaTheme="minorEastAsia"/>
          <w:b w:val="0"/>
          <w:bCs w:val="0"/>
          <w:color w:val="auto"/>
          <w:kern w:val="2"/>
          <w:sz w:val="32"/>
          <w:szCs w:val="32"/>
          <w:u w:val="none"/>
          <w:lang w:val="en-US" w:eastAsia="zh-CN"/>
        </w:rPr>
        <w:t>月</w:t>
      </w:r>
    </w:p>
    <w:p w14:paraId="20D692F2">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建设单位：新乡市科博特起重机械有限公司</w:t>
      </w:r>
    </w:p>
    <w:p w14:paraId="39772D36">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eastAsia" w:ascii="Times New Roman" w:hAnsi="Times New Roman" w:eastAsia="宋体" w:cs="Times New Roman"/>
          <w:b w:val="0"/>
          <w:bCs w:val="0"/>
          <w:color w:val="auto"/>
          <w:kern w:val="2"/>
          <w:sz w:val="28"/>
          <w:szCs w:val="28"/>
          <w:lang w:val="en-US" w:eastAsia="zh-CN"/>
        </w:rPr>
        <w:t>法人</w:t>
      </w:r>
      <w:r>
        <w:rPr>
          <w:rFonts w:hint="default" w:ascii="Times New Roman" w:hAnsi="Times New Roman" w:eastAsia="宋体" w:cs="Times New Roman"/>
          <w:b w:val="0"/>
          <w:bCs w:val="0"/>
          <w:color w:val="auto"/>
          <w:kern w:val="2"/>
          <w:sz w:val="28"/>
          <w:szCs w:val="28"/>
          <w:lang w:val="en-US" w:eastAsia="zh-CN"/>
        </w:rPr>
        <w:t>：</w:t>
      </w:r>
      <w:r>
        <w:rPr>
          <w:rFonts w:hint="eastAsia" w:ascii="Times New Roman" w:hAnsi="Times New Roman" w:eastAsia="宋体" w:cs="Times New Roman"/>
          <w:b w:val="0"/>
          <w:bCs w:val="0"/>
          <w:color w:val="auto"/>
          <w:kern w:val="2"/>
          <w:sz w:val="28"/>
          <w:szCs w:val="28"/>
          <w:lang w:val="en-US" w:eastAsia="zh-CN"/>
        </w:rPr>
        <w:t>王庆功</w:t>
      </w:r>
    </w:p>
    <w:p w14:paraId="2C05AB50">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eastAsia" w:ascii="Times New Roman" w:hAnsi="Times New Roman" w:eastAsia="宋体" w:cs="Times New Roman"/>
          <w:b w:val="0"/>
          <w:bCs w:val="0"/>
          <w:color w:val="auto"/>
          <w:kern w:val="2"/>
          <w:sz w:val="28"/>
          <w:szCs w:val="28"/>
          <w:lang w:val="en-US" w:eastAsia="zh-CN"/>
        </w:rPr>
      </w:pPr>
      <w:r>
        <w:rPr>
          <w:rFonts w:hint="eastAsia" w:ascii="Times New Roman" w:hAnsi="Times New Roman" w:eastAsia="宋体" w:cs="Times New Roman"/>
          <w:b w:val="0"/>
          <w:bCs w:val="0"/>
          <w:color w:val="auto"/>
          <w:kern w:val="2"/>
          <w:sz w:val="28"/>
          <w:szCs w:val="28"/>
          <w:lang w:val="en-US" w:eastAsia="zh-CN"/>
        </w:rPr>
        <w:t>联系人：王庆功</w:t>
      </w:r>
    </w:p>
    <w:p w14:paraId="5668FB12">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联系方式：</w:t>
      </w:r>
      <w:r>
        <w:rPr>
          <w:rFonts w:hint="eastAsia" w:ascii="Times New Roman" w:hAnsi="Times New Roman" w:eastAsia="宋体" w:cs="Times New Roman"/>
          <w:b w:val="0"/>
          <w:bCs w:val="0"/>
          <w:color w:val="auto"/>
          <w:kern w:val="2"/>
          <w:sz w:val="28"/>
          <w:szCs w:val="28"/>
          <w:lang w:val="en-US" w:eastAsia="zh-CN"/>
        </w:rPr>
        <w:t>13937336561</w:t>
      </w:r>
    </w:p>
    <w:p w14:paraId="22F2F7AB">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地    址：</w:t>
      </w:r>
      <w:r>
        <w:rPr>
          <w:rFonts w:hint="eastAsia" w:ascii="Times New Roman" w:hAnsi="Times New Roman" w:eastAsia="宋体" w:cs="Times New Roman"/>
          <w:b w:val="0"/>
          <w:bCs w:val="0"/>
          <w:color w:val="auto"/>
          <w:kern w:val="2"/>
          <w:sz w:val="28"/>
          <w:szCs w:val="28"/>
          <w:lang w:val="en-US" w:eastAsia="zh-CN"/>
        </w:rPr>
        <w:t>长垣市魏庄镇华豫大道中段88号</w:t>
      </w:r>
    </w:p>
    <w:p w14:paraId="641EA86A">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14:paraId="51633D0D">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14:paraId="5EE50ADE">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000000" w:themeColor="text1"/>
          <w:kern w:val="2"/>
          <w:sz w:val="28"/>
          <w:szCs w:val="28"/>
          <w:lang w:val="en-US" w:eastAsia="zh-CN"/>
          <w14:textFill>
            <w14:solidFill>
              <w14:schemeClr w14:val="tx1"/>
            </w14:solidFill>
          </w14:textFill>
        </w:rPr>
      </w:pPr>
    </w:p>
    <w:p w14:paraId="4FBBCB01">
      <w:pPr>
        <w:keepNext w:val="0"/>
        <w:keepLines w:val="0"/>
        <w:pageBreakBefore w:val="0"/>
        <w:widowControl/>
        <w:kinsoku/>
        <w:wordWrap/>
        <w:overflowPunct/>
        <w:topLinePunct w:val="0"/>
        <w:autoSpaceDE/>
        <w:autoSpaceDN/>
        <w:bidi w:val="0"/>
        <w:adjustRightInd w:val="0"/>
        <w:snapToGrid w:val="0"/>
        <w:spacing w:after="0" w:line="360" w:lineRule="auto"/>
        <w:textAlignment w:val="auto"/>
        <w:outlineLvl w:val="0"/>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监测单位</w:t>
      </w:r>
      <w:r>
        <w:rPr>
          <w:rFonts w:hint="eastAsia"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：河南中碳应用监测技术有限公司</w:t>
      </w:r>
    </w:p>
    <w:p w14:paraId="3B439D45">
      <w:pPr>
        <w:keepNext w:val="0"/>
        <w:keepLines w:val="0"/>
        <w:pageBreakBefore w:val="0"/>
        <w:widowControl w:val="0"/>
        <w:kinsoku/>
        <w:wordWrap/>
        <w:overflowPunct/>
        <w:topLinePunct w:val="0"/>
        <w:autoSpaceDE/>
        <w:autoSpaceDN/>
        <w:bidi w:val="0"/>
        <w:adjustRightInd/>
        <w:snapToGrid/>
        <w:spacing w:after="0" w:afterLines="0" w:line="480" w:lineRule="auto"/>
        <w:jc w:val="both"/>
        <w:textAlignment w:val="auto"/>
        <w:outlineLvl w:val="9"/>
        <w:rPr>
          <w:rFonts w:hint="default" w:ascii="Times New Roman" w:hAnsi="Times New Roman" w:cs="Times New Roman" w:eastAsiaTheme="minorEastAsia"/>
          <w:b w:val="0"/>
          <w:bCs w:val="0"/>
          <w:color w:val="auto"/>
          <w:kern w:val="2"/>
          <w:sz w:val="28"/>
          <w:szCs w:val="28"/>
          <w:u w:val="none"/>
          <w:lang w:val="en-US" w:eastAsia="zh-CN"/>
        </w:rPr>
      </w:pPr>
      <w:r>
        <w:rPr>
          <w:rFonts w:hint="default" w:ascii="Times New Roman" w:hAnsi="Times New Roman" w:cs="Times New Roman" w:eastAsiaTheme="minorEastAsia"/>
          <w:b w:val="0"/>
          <w:bCs w:val="0"/>
          <w:color w:val="auto"/>
          <w:kern w:val="2"/>
          <w:sz w:val="28"/>
          <w:szCs w:val="28"/>
          <w:u w:val="none"/>
          <w:lang w:val="en-US" w:eastAsia="zh-CN"/>
        </w:rPr>
        <w:t>法人代表</w:t>
      </w:r>
      <w:r>
        <w:rPr>
          <w:rFonts w:hint="eastAsia" w:ascii="Times New Roman" w:hAnsi="Times New Roman" w:cs="Times New Roman" w:eastAsiaTheme="minorEastAsia"/>
          <w:b w:val="0"/>
          <w:bCs w:val="0"/>
          <w:color w:val="auto"/>
          <w:kern w:val="2"/>
          <w:sz w:val="28"/>
          <w:szCs w:val="28"/>
          <w:u w:val="none"/>
          <w:lang w:val="en-US" w:eastAsia="zh-CN"/>
        </w:rPr>
        <w:t>：焦育良</w:t>
      </w:r>
    </w:p>
    <w:p w14:paraId="78B320CD">
      <w:pPr>
        <w:keepNext w:val="0"/>
        <w:keepLines w:val="0"/>
        <w:pageBreakBefore w:val="0"/>
        <w:widowControl w:val="0"/>
        <w:kinsoku/>
        <w:wordWrap/>
        <w:overflowPunct/>
        <w:topLinePunct w:val="0"/>
        <w:autoSpaceDE/>
        <w:autoSpaceDN/>
        <w:bidi w:val="0"/>
        <w:adjustRightInd/>
        <w:snapToGrid/>
        <w:spacing w:after="0" w:afterLines="0" w:line="480" w:lineRule="auto"/>
        <w:jc w:val="both"/>
        <w:textAlignment w:val="auto"/>
        <w:outlineLvl w:val="9"/>
        <w:rPr>
          <w:rFonts w:hint="default" w:ascii="Times New Roman" w:hAnsi="Times New Roman" w:cs="Times New Roman" w:eastAsiaTheme="minorEastAsia"/>
          <w:b w:val="0"/>
          <w:bCs w:val="0"/>
          <w:color w:val="auto"/>
          <w:kern w:val="2"/>
          <w:sz w:val="28"/>
          <w:szCs w:val="28"/>
          <w:u w:val="none"/>
          <w:lang w:val="en-US" w:eastAsia="zh-CN"/>
        </w:rPr>
      </w:pPr>
      <w:r>
        <w:rPr>
          <w:rFonts w:hint="eastAsia" w:ascii="Times New Roman" w:hAnsi="Times New Roman" w:cs="Times New Roman" w:eastAsiaTheme="minorEastAsia"/>
          <w:b w:val="0"/>
          <w:bCs w:val="0"/>
          <w:color w:val="auto"/>
          <w:kern w:val="2"/>
          <w:sz w:val="28"/>
          <w:szCs w:val="28"/>
          <w:u w:val="none"/>
          <w:lang w:val="en-US" w:eastAsia="zh-CN"/>
        </w:rPr>
        <w:t>联系人：付金星</w:t>
      </w:r>
    </w:p>
    <w:p w14:paraId="655AF943">
      <w:pPr>
        <w:keepNext w:val="0"/>
        <w:keepLines w:val="0"/>
        <w:pageBreakBefore w:val="0"/>
        <w:widowControl w:val="0"/>
        <w:kinsoku/>
        <w:wordWrap/>
        <w:overflowPunct/>
        <w:topLinePunct w:val="0"/>
        <w:autoSpaceDE/>
        <w:autoSpaceDN/>
        <w:bidi w:val="0"/>
        <w:adjustRightInd/>
        <w:snapToGrid/>
        <w:spacing w:after="0" w:afterLines="0" w:line="480" w:lineRule="auto"/>
        <w:jc w:val="both"/>
        <w:textAlignment w:val="auto"/>
        <w:outlineLvl w:val="9"/>
        <w:rPr>
          <w:rFonts w:hint="default" w:ascii="Times New Roman" w:hAnsi="Times New Roman" w:cs="Times New Roman" w:eastAsiaTheme="minorEastAsia"/>
          <w:b w:val="0"/>
          <w:bCs w:val="0"/>
          <w:color w:val="auto"/>
          <w:kern w:val="2"/>
          <w:sz w:val="28"/>
          <w:szCs w:val="28"/>
          <w:u w:val="none"/>
          <w:lang w:val="en-US" w:eastAsia="zh-CN"/>
        </w:rPr>
      </w:pPr>
      <w:r>
        <w:rPr>
          <w:rFonts w:hint="default" w:ascii="Times New Roman" w:hAnsi="Times New Roman" w:cs="Times New Roman" w:eastAsiaTheme="minorEastAsia"/>
          <w:b w:val="0"/>
          <w:bCs w:val="0"/>
          <w:color w:val="auto"/>
          <w:kern w:val="2"/>
          <w:sz w:val="28"/>
          <w:szCs w:val="28"/>
          <w:u w:val="none"/>
          <w:lang w:val="en-US" w:eastAsia="zh-CN"/>
        </w:rPr>
        <w:t>联系方式</w:t>
      </w:r>
      <w:r>
        <w:rPr>
          <w:rFonts w:hint="eastAsia" w:ascii="Times New Roman" w:hAnsi="Times New Roman" w:cs="Times New Roman" w:eastAsiaTheme="minorEastAsia"/>
          <w:b w:val="0"/>
          <w:bCs w:val="0"/>
          <w:color w:val="auto"/>
          <w:kern w:val="2"/>
          <w:sz w:val="28"/>
          <w:szCs w:val="28"/>
          <w:u w:val="none"/>
          <w:lang w:val="en-US" w:eastAsia="zh-CN"/>
        </w:rPr>
        <w:t>：18438648778</w:t>
      </w:r>
    </w:p>
    <w:p w14:paraId="3E874828">
      <w:pPr>
        <w:keepNext w:val="0"/>
        <w:keepLines w:val="0"/>
        <w:pageBreakBefore w:val="0"/>
        <w:widowControl w:val="0"/>
        <w:kinsoku/>
        <w:wordWrap/>
        <w:overflowPunct/>
        <w:topLinePunct w:val="0"/>
        <w:autoSpaceDE/>
        <w:autoSpaceDN/>
        <w:bidi w:val="0"/>
        <w:adjustRightInd/>
        <w:snapToGrid/>
        <w:spacing w:after="0" w:afterLines="0" w:afterAutospacing="0" w:line="480" w:lineRule="auto"/>
        <w:jc w:val="both"/>
        <w:textAlignment w:val="auto"/>
        <w:outlineLvl w:val="9"/>
        <w:rPr>
          <w:rFonts w:hint="default" w:ascii="Times New Roman" w:hAnsi="Times New Roman" w:eastAsia="宋体" w:cs="Times New Roman"/>
          <w:b w:val="0"/>
          <w:bCs w:val="0"/>
          <w:color w:val="auto"/>
          <w:kern w:val="2"/>
          <w:sz w:val="28"/>
          <w:szCs w:val="28"/>
          <w:lang w:val="en-US" w:eastAsia="zh-CN"/>
        </w:rPr>
      </w:pPr>
    </w:p>
    <w:p w14:paraId="435EF26F">
      <w:pPr>
        <w:pStyle w:val="2"/>
        <w:rPr>
          <w:rFonts w:hint="default"/>
          <w:lang w:val="en-US" w:eastAsia="zh-CN"/>
        </w:rPr>
      </w:pPr>
    </w:p>
    <w:p w14:paraId="776368FE">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建设单位：新乡市科博特起重机械有限公司</w:t>
      </w:r>
    </w:p>
    <w:p w14:paraId="077C1B6D">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eastAsia" w:ascii="Times New Roman" w:hAnsi="Times New Roman" w:eastAsia="宋体" w:cs="Times New Roman"/>
          <w:b w:val="0"/>
          <w:bCs w:val="0"/>
          <w:color w:val="auto"/>
          <w:kern w:val="2"/>
          <w:sz w:val="28"/>
          <w:szCs w:val="28"/>
          <w:lang w:val="en-US" w:eastAsia="zh-CN"/>
        </w:rPr>
        <w:t>项目负责人</w:t>
      </w:r>
      <w:r>
        <w:rPr>
          <w:rFonts w:hint="default" w:ascii="Times New Roman" w:hAnsi="Times New Roman" w:eastAsia="宋体" w:cs="Times New Roman"/>
          <w:b w:val="0"/>
          <w:bCs w:val="0"/>
          <w:color w:val="auto"/>
          <w:kern w:val="2"/>
          <w:sz w:val="28"/>
          <w:szCs w:val="28"/>
          <w:lang w:val="en-US" w:eastAsia="zh-CN"/>
        </w:rPr>
        <w:t>：</w:t>
      </w:r>
      <w:r>
        <w:rPr>
          <w:rFonts w:hint="eastAsia" w:ascii="Times New Roman" w:hAnsi="Times New Roman" w:eastAsia="宋体" w:cs="Times New Roman"/>
          <w:b w:val="0"/>
          <w:bCs w:val="0"/>
          <w:color w:val="auto"/>
          <w:kern w:val="2"/>
          <w:sz w:val="28"/>
          <w:szCs w:val="28"/>
          <w:lang w:val="en-US" w:eastAsia="zh-CN"/>
        </w:rPr>
        <w:t>王庆功</w:t>
      </w:r>
    </w:p>
    <w:p w14:paraId="04096DA9">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eastAsia" w:ascii="Times New Roman" w:hAnsi="Times New Roman" w:eastAsia="宋体" w:cs="Times New Roman"/>
          <w:b w:val="0"/>
          <w:bCs w:val="0"/>
          <w:color w:val="auto"/>
          <w:kern w:val="2"/>
          <w:sz w:val="28"/>
          <w:szCs w:val="28"/>
          <w:lang w:val="en-US" w:eastAsia="zh-CN"/>
        </w:rPr>
      </w:pPr>
      <w:r>
        <w:rPr>
          <w:rFonts w:hint="eastAsia" w:ascii="Times New Roman" w:hAnsi="Times New Roman" w:eastAsia="宋体" w:cs="Times New Roman"/>
          <w:b w:val="0"/>
          <w:bCs w:val="0"/>
          <w:color w:val="auto"/>
          <w:kern w:val="2"/>
          <w:sz w:val="28"/>
          <w:szCs w:val="28"/>
          <w:lang w:val="en-US" w:eastAsia="zh-CN"/>
        </w:rPr>
        <w:t>联系人：王庆功</w:t>
      </w:r>
    </w:p>
    <w:p w14:paraId="7E314431">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联系方式：</w:t>
      </w:r>
      <w:r>
        <w:rPr>
          <w:rFonts w:hint="eastAsia" w:ascii="Times New Roman" w:hAnsi="Times New Roman" w:eastAsia="宋体" w:cs="Times New Roman"/>
          <w:b w:val="0"/>
          <w:bCs w:val="0"/>
          <w:color w:val="auto"/>
          <w:kern w:val="2"/>
          <w:sz w:val="28"/>
          <w:szCs w:val="28"/>
          <w:lang w:val="en-US" w:eastAsia="zh-CN"/>
        </w:rPr>
        <w:t>13937336561</w:t>
      </w:r>
    </w:p>
    <w:p w14:paraId="2BF07137">
      <w:pPr>
        <w:keepNext w:val="0"/>
        <w:keepLines w:val="0"/>
        <w:pageBreakBefore w:val="0"/>
        <w:widowControl/>
        <w:kinsoku/>
        <w:wordWrap/>
        <w:overflowPunct/>
        <w:topLinePunct w:val="0"/>
        <w:autoSpaceDE/>
        <w:autoSpaceDN/>
        <w:bidi w:val="0"/>
        <w:adjustRightInd/>
        <w:snapToGrid/>
        <w:spacing w:after="0" w:afterLines="0" w:afterAutospacing="0" w:line="480" w:lineRule="auto"/>
        <w:textAlignment w:val="auto"/>
        <w:outlineLvl w:val="9"/>
        <w:rPr>
          <w:rFonts w:hint="default" w:ascii="Times New Roman" w:hAnsi="Times New Roman" w:eastAsia="宋体" w:cs="Times New Roman"/>
          <w:b w:val="0"/>
          <w:bCs w:val="0"/>
          <w:color w:val="auto"/>
          <w:kern w:val="2"/>
          <w:sz w:val="28"/>
          <w:szCs w:val="28"/>
          <w:lang w:val="en-US" w:eastAsia="zh-CN"/>
        </w:rPr>
      </w:pPr>
      <w:r>
        <w:rPr>
          <w:rFonts w:hint="default" w:ascii="Times New Roman" w:hAnsi="Times New Roman" w:eastAsia="宋体" w:cs="Times New Roman"/>
          <w:b w:val="0"/>
          <w:bCs w:val="0"/>
          <w:color w:val="auto"/>
          <w:kern w:val="2"/>
          <w:sz w:val="28"/>
          <w:szCs w:val="28"/>
          <w:lang w:val="en-US" w:eastAsia="zh-CN"/>
        </w:rPr>
        <w:t>地    址：</w:t>
      </w:r>
      <w:r>
        <w:rPr>
          <w:rFonts w:hint="eastAsia" w:ascii="Times New Roman" w:hAnsi="Times New Roman" w:eastAsia="宋体" w:cs="Times New Roman"/>
          <w:b w:val="0"/>
          <w:bCs w:val="0"/>
          <w:color w:val="auto"/>
          <w:kern w:val="2"/>
          <w:sz w:val="28"/>
          <w:szCs w:val="28"/>
          <w:lang w:val="en-US" w:eastAsia="zh-CN"/>
        </w:rPr>
        <w:t>长垣市魏庄镇华豫大道中段88号</w:t>
      </w:r>
    </w:p>
    <w:p w14:paraId="09E5E126"/>
    <w:p w14:paraId="571AEF3E">
      <w:pPr>
        <w:keepNext w:val="0"/>
        <w:keepLines w:val="0"/>
        <w:pageBreakBefore w:val="0"/>
        <w:widowControl/>
        <w:kinsoku/>
        <w:wordWrap/>
        <w:overflowPunct/>
        <w:topLinePunct w:val="0"/>
        <w:autoSpaceDE/>
        <w:autoSpaceDN/>
        <w:bidi w:val="0"/>
        <w:adjustRightInd/>
        <w:snapToGrid/>
        <w:spacing w:after="0" w:line="520" w:lineRule="exact"/>
        <w:textAlignment w:val="auto"/>
        <w:rPr>
          <w:rFonts w:hint="default" w:ascii="Times New Roman" w:hAnsi="Times New Roman" w:cs="Times New Roman" w:eastAsiaTheme="minorEastAsia"/>
          <w:b/>
          <w:color w:val="auto"/>
          <w:sz w:val="32"/>
          <w:szCs w:val="32"/>
        </w:rPr>
        <w:sectPr>
          <w:footerReference r:id="rId4" w:type="default"/>
          <w:pgSz w:w="11906" w:h="16838"/>
          <w:pgMar w:top="1417" w:right="1417" w:bottom="1417" w:left="1417"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0D58B300">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auto"/>
          <w:sz w:val="32"/>
          <w:szCs w:val="32"/>
        </w:rPr>
        <w:t>表一</w:t>
      </w:r>
    </w:p>
    <w:tbl>
      <w:tblPr>
        <w:tblStyle w:val="17"/>
        <w:tblW w:w="925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51"/>
        <w:gridCol w:w="1876"/>
        <w:gridCol w:w="2095"/>
        <w:gridCol w:w="1402"/>
        <w:gridCol w:w="981"/>
        <w:gridCol w:w="1152"/>
      </w:tblGrid>
      <w:tr w14:paraId="2FE49C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51" w:type="dxa"/>
            <w:vAlign w:val="center"/>
          </w:tcPr>
          <w:p w14:paraId="69D3B9A8">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建设项目名称</w:t>
            </w:r>
          </w:p>
        </w:tc>
        <w:tc>
          <w:tcPr>
            <w:tcW w:w="7506" w:type="dxa"/>
            <w:gridSpan w:val="5"/>
            <w:vAlign w:val="center"/>
          </w:tcPr>
          <w:p w14:paraId="720E939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sz w:val="24"/>
                <w:szCs w:val="24"/>
                <w:highlight w:val="none"/>
                <w:lang w:val="en-US" w:eastAsia="zh-CN"/>
              </w:rPr>
              <w:t>年产1.2万吨道轨交通配件项目</w:t>
            </w:r>
            <w:r>
              <w:rPr>
                <w:rFonts w:hint="eastAsia" w:ascii="Times New Roman" w:hAnsi="Times New Roman" w:cs="Times New Roman" w:eastAsiaTheme="minorEastAsia"/>
                <w:sz w:val="24"/>
                <w:szCs w:val="24"/>
                <w:highlight w:val="none"/>
                <w:lang w:val="en-US" w:eastAsia="zh-CN"/>
              </w:rPr>
              <w:t>（一期）</w:t>
            </w:r>
          </w:p>
        </w:tc>
      </w:tr>
      <w:tr w14:paraId="6059BF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51" w:type="dxa"/>
            <w:vAlign w:val="center"/>
          </w:tcPr>
          <w:p w14:paraId="1D0A334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建设单位名称</w:t>
            </w:r>
          </w:p>
        </w:tc>
        <w:tc>
          <w:tcPr>
            <w:tcW w:w="7506" w:type="dxa"/>
            <w:gridSpan w:val="5"/>
            <w:vAlign w:val="center"/>
          </w:tcPr>
          <w:p w14:paraId="24B84865">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sz w:val="24"/>
                <w:szCs w:val="24"/>
                <w:highlight w:val="none"/>
                <w:lang w:val="en-US" w:eastAsia="zh-CN"/>
              </w:rPr>
              <w:t>新乡市科博特起重机械有限公司</w:t>
            </w:r>
          </w:p>
        </w:tc>
      </w:tr>
      <w:tr w14:paraId="0058C1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751" w:type="dxa"/>
            <w:vAlign w:val="center"/>
          </w:tcPr>
          <w:p w14:paraId="156E1B4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建设项目性质</w:t>
            </w:r>
          </w:p>
        </w:tc>
        <w:tc>
          <w:tcPr>
            <w:tcW w:w="7506" w:type="dxa"/>
            <w:gridSpan w:val="5"/>
            <w:vAlign w:val="center"/>
          </w:tcPr>
          <w:p w14:paraId="7FF241A3">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新建</w:t>
            </w:r>
            <w:r>
              <w:rPr>
                <w:rFonts w:hint="eastAsia" w:ascii="Times New Roman" w:hAnsi="Times New Roman" w:cs="Times New Roman" w:eastAsiaTheme="minorEastAsia"/>
                <w:color w:val="auto"/>
                <w:sz w:val="24"/>
                <w:szCs w:val="24"/>
                <w:lang w:val="en-US" w:eastAsia="zh-CN"/>
              </w:rPr>
              <w:t xml:space="preserve"> </w:t>
            </w:r>
            <w:r>
              <w:rPr>
                <w:rFonts w:hint="default" w:ascii="Times New Roman" w:hAnsi="Times New Roman" w:cs="Times New Roman" w:eastAsiaTheme="minorEastAsia"/>
                <w:color w:val="auto"/>
                <w:sz w:val="24"/>
                <w:szCs w:val="24"/>
                <w:lang w:val="en-US" w:eastAsia="zh-CN"/>
              </w:rPr>
              <w:t>改扩建√ 技改  迁建</w:t>
            </w:r>
          </w:p>
        </w:tc>
      </w:tr>
      <w:tr w14:paraId="40C594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51" w:type="dxa"/>
            <w:vAlign w:val="center"/>
          </w:tcPr>
          <w:p w14:paraId="5E3ABA84">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建设地点</w:t>
            </w:r>
          </w:p>
        </w:tc>
        <w:tc>
          <w:tcPr>
            <w:tcW w:w="7506" w:type="dxa"/>
            <w:gridSpan w:val="5"/>
            <w:vAlign w:val="center"/>
          </w:tcPr>
          <w:p w14:paraId="0A67738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长垣市魏庄镇华豫大道中段88号</w:t>
            </w:r>
          </w:p>
        </w:tc>
      </w:tr>
      <w:tr w14:paraId="7E5411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1751" w:type="dxa"/>
            <w:vAlign w:val="center"/>
          </w:tcPr>
          <w:p w14:paraId="27ECA463">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主要产品名称</w:t>
            </w:r>
          </w:p>
        </w:tc>
        <w:tc>
          <w:tcPr>
            <w:tcW w:w="7506" w:type="dxa"/>
            <w:gridSpan w:val="5"/>
            <w:vAlign w:val="center"/>
          </w:tcPr>
          <w:p w14:paraId="193ACA2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道轨交通配件</w:t>
            </w:r>
          </w:p>
        </w:tc>
      </w:tr>
      <w:tr w14:paraId="55A52D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1" w:type="dxa"/>
            <w:vAlign w:val="center"/>
          </w:tcPr>
          <w:p w14:paraId="7D714BB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建设项目环评时间</w:t>
            </w:r>
          </w:p>
        </w:tc>
        <w:tc>
          <w:tcPr>
            <w:tcW w:w="1876" w:type="dxa"/>
            <w:vAlign w:val="center"/>
          </w:tcPr>
          <w:p w14:paraId="60AEA73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20</w:t>
            </w:r>
            <w:r>
              <w:rPr>
                <w:rFonts w:hint="eastAsia" w:ascii="Times New Roman" w:hAnsi="Times New Roman" w:cs="Times New Roman" w:eastAsiaTheme="minorEastAsia"/>
                <w:color w:val="auto"/>
                <w:sz w:val="24"/>
                <w:szCs w:val="24"/>
                <w:highlight w:val="none"/>
                <w:lang w:val="en-US" w:eastAsia="zh-CN"/>
              </w:rPr>
              <w:t>23</w:t>
            </w:r>
            <w:r>
              <w:rPr>
                <w:rFonts w:hint="default" w:ascii="Times New Roman" w:hAnsi="Times New Roman" w:cs="Times New Roman" w:eastAsiaTheme="minorEastAsia"/>
                <w:color w:val="auto"/>
                <w:sz w:val="24"/>
                <w:szCs w:val="24"/>
                <w:highlight w:val="none"/>
                <w:lang w:val="en-US" w:eastAsia="zh-CN"/>
              </w:rPr>
              <w:t>年</w:t>
            </w:r>
            <w:r>
              <w:rPr>
                <w:rFonts w:hint="eastAsia" w:ascii="Times New Roman" w:hAnsi="Times New Roman" w:cs="Times New Roman" w:eastAsiaTheme="minorEastAsia"/>
                <w:color w:val="auto"/>
                <w:sz w:val="24"/>
                <w:szCs w:val="24"/>
                <w:highlight w:val="none"/>
                <w:lang w:val="en-US" w:eastAsia="zh-CN"/>
              </w:rPr>
              <w:t>11</w:t>
            </w:r>
            <w:r>
              <w:rPr>
                <w:rFonts w:hint="default" w:ascii="Times New Roman" w:hAnsi="Times New Roman" w:cs="Times New Roman" w:eastAsiaTheme="minorEastAsia"/>
                <w:color w:val="auto"/>
                <w:sz w:val="24"/>
                <w:szCs w:val="24"/>
                <w:highlight w:val="none"/>
                <w:lang w:val="en-US" w:eastAsia="zh-CN"/>
              </w:rPr>
              <w:t>月</w:t>
            </w:r>
          </w:p>
        </w:tc>
        <w:tc>
          <w:tcPr>
            <w:tcW w:w="2095" w:type="dxa"/>
            <w:vAlign w:val="center"/>
          </w:tcPr>
          <w:p w14:paraId="18C6C43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开工建设时间</w:t>
            </w:r>
          </w:p>
        </w:tc>
        <w:tc>
          <w:tcPr>
            <w:tcW w:w="3535" w:type="dxa"/>
            <w:gridSpan w:val="3"/>
            <w:vAlign w:val="center"/>
          </w:tcPr>
          <w:p w14:paraId="6ED23D0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20</w:t>
            </w:r>
            <w:r>
              <w:rPr>
                <w:rFonts w:hint="eastAsia" w:ascii="Times New Roman" w:hAnsi="Times New Roman" w:cs="Times New Roman" w:eastAsiaTheme="minorEastAsia"/>
                <w:color w:val="auto"/>
                <w:sz w:val="24"/>
                <w:szCs w:val="24"/>
                <w:highlight w:val="none"/>
                <w:lang w:val="en-US" w:eastAsia="zh-CN"/>
              </w:rPr>
              <w:t>23</w:t>
            </w:r>
            <w:r>
              <w:rPr>
                <w:rFonts w:hint="default" w:ascii="Times New Roman" w:hAnsi="Times New Roman" w:cs="Times New Roman" w:eastAsiaTheme="minorEastAsia"/>
                <w:color w:val="auto"/>
                <w:sz w:val="24"/>
                <w:szCs w:val="24"/>
                <w:highlight w:val="none"/>
                <w:lang w:val="en-US" w:eastAsia="zh-CN"/>
              </w:rPr>
              <w:t>年</w:t>
            </w:r>
            <w:r>
              <w:rPr>
                <w:rFonts w:hint="eastAsia" w:ascii="Times New Roman" w:hAnsi="Times New Roman" w:cs="Times New Roman" w:eastAsiaTheme="minorEastAsia"/>
                <w:color w:val="auto"/>
                <w:sz w:val="24"/>
                <w:szCs w:val="24"/>
                <w:highlight w:val="none"/>
                <w:lang w:val="en-US" w:eastAsia="zh-CN"/>
              </w:rPr>
              <w:t>12</w:t>
            </w:r>
            <w:r>
              <w:rPr>
                <w:rFonts w:hint="default" w:ascii="Times New Roman" w:hAnsi="Times New Roman" w:cs="Times New Roman" w:eastAsiaTheme="minorEastAsia"/>
                <w:color w:val="auto"/>
                <w:sz w:val="24"/>
                <w:szCs w:val="24"/>
                <w:highlight w:val="none"/>
                <w:lang w:val="en-US" w:eastAsia="zh-CN"/>
              </w:rPr>
              <w:t>月</w:t>
            </w:r>
          </w:p>
        </w:tc>
      </w:tr>
      <w:tr w14:paraId="622F4B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751" w:type="dxa"/>
            <w:vAlign w:val="center"/>
          </w:tcPr>
          <w:p w14:paraId="6A96D13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调试时间</w:t>
            </w:r>
          </w:p>
        </w:tc>
        <w:tc>
          <w:tcPr>
            <w:tcW w:w="1876" w:type="dxa"/>
            <w:vAlign w:val="center"/>
          </w:tcPr>
          <w:p w14:paraId="761EB67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20</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25</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年</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7</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月</w:t>
            </w:r>
          </w:p>
        </w:tc>
        <w:tc>
          <w:tcPr>
            <w:tcW w:w="2095" w:type="dxa"/>
            <w:vAlign w:val="center"/>
          </w:tcPr>
          <w:p w14:paraId="58C9B915">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FF0000"/>
                <w:sz w:val="24"/>
                <w:szCs w:val="24"/>
                <w:highlight w:val="none"/>
                <w:lang w:val="en-US" w:eastAsia="zh-CN"/>
              </w:rPr>
            </w:pP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验收现场监测时间</w:t>
            </w:r>
          </w:p>
        </w:tc>
        <w:tc>
          <w:tcPr>
            <w:tcW w:w="3535" w:type="dxa"/>
            <w:gridSpan w:val="3"/>
            <w:vAlign w:val="center"/>
          </w:tcPr>
          <w:p w14:paraId="4414FCC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eastAsia="微软雅黑" w:cs="Times New Roman"/>
                <w:color w:val="auto"/>
                <w:sz w:val="24"/>
                <w:szCs w:val="24"/>
                <w:highlight w:val="none"/>
                <w:lang w:val="en-US" w:eastAsia="zh-CN"/>
              </w:rPr>
            </w:pPr>
            <w:r>
              <w:rPr>
                <w:rFonts w:hint="eastAsia" w:ascii="Times New Roman" w:hAnsi="Times New Roman" w:cs="Times New Roman" w:eastAsiaTheme="minorEastAsia"/>
                <w:color w:val="auto"/>
                <w:sz w:val="24"/>
                <w:szCs w:val="24"/>
                <w:highlight w:val="none"/>
                <w:lang w:val="en-US" w:eastAsia="zh-CN"/>
              </w:rPr>
              <w:t>2025年8月22日~8月23日</w:t>
            </w:r>
          </w:p>
        </w:tc>
      </w:tr>
      <w:tr w14:paraId="79B60D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1" w:type="dxa"/>
            <w:vAlign w:val="center"/>
          </w:tcPr>
          <w:p w14:paraId="15F0A9F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环评报告表</w:t>
            </w:r>
          </w:p>
          <w:p w14:paraId="60D3E4C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审批部门</w:t>
            </w:r>
          </w:p>
        </w:tc>
        <w:tc>
          <w:tcPr>
            <w:tcW w:w="1876" w:type="dxa"/>
            <w:vAlign w:val="center"/>
          </w:tcPr>
          <w:p w14:paraId="63052003">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lang w:val="en-US" w:eastAsia="zh-CN"/>
              </w:rPr>
            </w:pPr>
            <w:r>
              <w:rPr>
                <w:rFonts w:hint="eastAsia" w:ascii="Times New Roman" w:hAnsi="Times New Roman" w:cs="Times New Roman" w:eastAsiaTheme="minorEastAsia"/>
                <w:color w:val="auto"/>
                <w:sz w:val="24"/>
                <w:szCs w:val="24"/>
                <w:highlight w:val="none"/>
                <w:lang w:val="en-US" w:eastAsia="zh-CN"/>
              </w:rPr>
              <w:t>新乡市生态环境局长垣分局</w:t>
            </w:r>
            <w:r>
              <w:rPr>
                <w:rFonts w:hint="default" w:ascii="Times New Roman" w:hAnsi="Times New Roman" w:cs="Times New Roman" w:eastAsiaTheme="minorEastAsia"/>
                <w:color w:val="auto"/>
                <w:sz w:val="24"/>
                <w:szCs w:val="24"/>
                <w:highlight w:val="none"/>
                <w:lang w:val="en-US" w:eastAsia="zh-CN"/>
              </w:rPr>
              <w:t>（长环审（2</w:t>
            </w:r>
            <w:r>
              <w:rPr>
                <w:rFonts w:hint="eastAsia" w:ascii="Times New Roman" w:hAnsi="Times New Roman" w:cs="Times New Roman" w:eastAsiaTheme="minorEastAsia"/>
                <w:color w:val="auto"/>
                <w:sz w:val="24"/>
                <w:szCs w:val="24"/>
                <w:highlight w:val="none"/>
                <w:lang w:val="en-US" w:eastAsia="zh-CN"/>
              </w:rPr>
              <w:t>023</w:t>
            </w:r>
            <w:r>
              <w:rPr>
                <w:rFonts w:hint="default" w:ascii="Times New Roman" w:hAnsi="Times New Roman" w:cs="Times New Roman" w:eastAsiaTheme="minorEastAsia"/>
                <w:color w:val="auto"/>
                <w:sz w:val="24"/>
                <w:szCs w:val="24"/>
                <w:highlight w:val="none"/>
                <w:lang w:val="en-US" w:eastAsia="zh-CN"/>
              </w:rPr>
              <w:t>）</w:t>
            </w:r>
            <w:r>
              <w:rPr>
                <w:rFonts w:hint="eastAsia" w:ascii="Times New Roman" w:hAnsi="Times New Roman" w:cs="Times New Roman" w:eastAsiaTheme="minorEastAsia"/>
                <w:color w:val="auto"/>
                <w:sz w:val="24"/>
                <w:szCs w:val="24"/>
                <w:highlight w:val="none"/>
                <w:lang w:val="en-US" w:eastAsia="zh-CN"/>
              </w:rPr>
              <w:t>70</w:t>
            </w:r>
            <w:r>
              <w:rPr>
                <w:rFonts w:hint="default" w:ascii="Times New Roman" w:hAnsi="Times New Roman" w:cs="Times New Roman" w:eastAsiaTheme="minorEastAsia"/>
                <w:color w:val="auto"/>
                <w:sz w:val="24"/>
                <w:szCs w:val="24"/>
                <w:highlight w:val="none"/>
                <w:lang w:val="en-US" w:eastAsia="zh-CN"/>
              </w:rPr>
              <w:t>号</w:t>
            </w:r>
            <w:r>
              <w:rPr>
                <w:rFonts w:hint="eastAsia" w:ascii="Times New Roman" w:hAnsi="Times New Roman" w:cs="Times New Roman" w:eastAsiaTheme="minorEastAsia"/>
                <w:color w:val="auto"/>
                <w:sz w:val="24"/>
                <w:szCs w:val="24"/>
                <w:highlight w:val="none"/>
                <w:lang w:val="en-US" w:eastAsia="zh-CN"/>
              </w:rPr>
              <w:t>）</w:t>
            </w:r>
          </w:p>
        </w:tc>
        <w:tc>
          <w:tcPr>
            <w:tcW w:w="2095" w:type="dxa"/>
            <w:vAlign w:val="center"/>
          </w:tcPr>
          <w:p w14:paraId="001116D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环评报告表</w:t>
            </w:r>
          </w:p>
          <w:p w14:paraId="6863A514">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编制单位</w:t>
            </w:r>
          </w:p>
        </w:tc>
        <w:tc>
          <w:tcPr>
            <w:tcW w:w="3535" w:type="dxa"/>
            <w:gridSpan w:val="3"/>
            <w:vAlign w:val="center"/>
          </w:tcPr>
          <w:p w14:paraId="3A8C6E1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color w:val="auto"/>
                <w:sz w:val="24"/>
                <w:szCs w:val="24"/>
                <w:highlight w:val="none"/>
                <w:lang w:val="en-US" w:eastAsia="zh-CN"/>
              </w:rPr>
            </w:pPr>
            <w:r>
              <w:rPr>
                <w:rFonts w:hint="eastAsia" w:ascii="Times New Roman" w:hAnsi="Times New Roman" w:cs="Times New Roman" w:eastAsiaTheme="minorEastAsia"/>
                <w:color w:val="auto"/>
                <w:sz w:val="24"/>
                <w:szCs w:val="24"/>
                <w:lang w:val="en-US" w:eastAsia="zh-CN"/>
              </w:rPr>
              <w:t>河南省凝博生态科技</w:t>
            </w:r>
            <w:r>
              <w:rPr>
                <w:rFonts w:hint="eastAsia" w:ascii="Times New Roman" w:hAnsi="Times New Roman" w:cs="Times New Roman" w:eastAsiaTheme="minorEastAsia"/>
                <w:color w:val="auto"/>
                <w:sz w:val="24"/>
                <w:szCs w:val="24"/>
                <w:lang w:eastAsia="zh-CN"/>
              </w:rPr>
              <w:t>有限公司</w:t>
            </w:r>
          </w:p>
        </w:tc>
      </w:tr>
      <w:tr w14:paraId="6338A1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1" w:type="dxa"/>
            <w:vAlign w:val="center"/>
          </w:tcPr>
          <w:p w14:paraId="71F0676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环保设施设计单位</w:t>
            </w:r>
          </w:p>
        </w:tc>
        <w:tc>
          <w:tcPr>
            <w:tcW w:w="1876" w:type="dxa"/>
            <w:vAlign w:val="center"/>
          </w:tcPr>
          <w:p w14:paraId="042A7C2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c>
          <w:tcPr>
            <w:tcW w:w="2095" w:type="dxa"/>
            <w:vAlign w:val="center"/>
          </w:tcPr>
          <w:p w14:paraId="40742B3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环保设施施工单位</w:t>
            </w:r>
          </w:p>
        </w:tc>
        <w:tc>
          <w:tcPr>
            <w:tcW w:w="3535" w:type="dxa"/>
            <w:gridSpan w:val="3"/>
            <w:vAlign w:val="center"/>
          </w:tcPr>
          <w:p w14:paraId="763E5D2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r>
      <w:tr w14:paraId="2C0DF8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751" w:type="dxa"/>
            <w:vAlign w:val="center"/>
          </w:tcPr>
          <w:p w14:paraId="2FFD4EF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投资总概算</w:t>
            </w:r>
          </w:p>
        </w:tc>
        <w:tc>
          <w:tcPr>
            <w:tcW w:w="1876" w:type="dxa"/>
            <w:vAlign w:val="center"/>
          </w:tcPr>
          <w:p w14:paraId="0E16E1A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eastAsia="宋体" w:cs="Times New Roman"/>
                <w:sz w:val="24"/>
                <w:szCs w:val="24"/>
                <w:highlight w:val="none"/>
                <w:lang w:val="en-US" w:eastAsia="zh-CN"/>
              </w:rPr>
              <w:t>20</w:t>
            </w:r>
            <w:r>
              <w:rPr>
                <w:rFonts w:hint="default" w:ascii="Times New Roman" w:hAnsi="Times New Roman" w:eastAsia="宋体" w:cs="Times New Roman"/>
                <w:sz w:val="24"/>
                <w:szCs w:val="24"/>
                <w:highlight w:val="none"/>
              </w:rPr>
              <w:t>0</w:t>
            </w:r>
            <w:r>
              <w:rPr>
                <w:rFonts w:hint="default" w:ascii="Times New Roman" w:hAnsi="Times New Roman" w:cs="Times New Roman" w:eastAsiaTheme="minorEastAsia"/>
                <w:color w:val="auto"/>
                <w:sz w:val="24"/>
                <w:szCs w:val="24"/>
                <w:lang w:val="en-US" w:eastAsia="zh-CN"/>
              </w:rPr>
              <w:t>万元</w:t>
            </w:r>
          </w:p>
        </w:tc>
        <w:tc>
          <w:tcPr>
            <w:tcW w:w="2095" w:type="dxa"/>
            <w:vAlign w:val="center"/>
          </w:tcPr>
          <w:p w14:paraId="42C2672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环保投资总概算</w:t>
            </w:r>
          </w:p>
        </w:tc>
        <w:tc>
          <w:tcPr>
            <w:tcW w:w="1402" w:type="dxa"/>
            <w:vAlign w:val="center"/>
          </w:tcPr>
          <w:p w14:paraId="079A9F0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eastAsia="宋体" w:cs="Times New Roman"/>
                <w:sz w:val="24"/>
                <w:szCs w:val="24"/>
                <w:highlight w:val="none"/>
                <w:lang w:val="en-US" w:eastAsia="zh-CN"/>
              </w:rPr>
              <w:t>20</w:t>
            </w:r>
            <w:r>
              <w:rPr>
                <w:rFonts w:hint="default" w:ascii="Times New Roman" w:hAnsi="Times New Roman" w:cs="Times New Roman" w:eastAsiaTheme="minorEastAsia"/>
                <w:color w:val="auto"/>
                <w:sz w:val="24"/>
                <w:szCs w:val="24"/>
                <w:lang w:val="en-US" w:eastAsia="zh-CN"/>
              </w:rPr>
              <w:t>万</w:t>
            </w:r>
          </w:p>
        </w:tc>
        <w:tc>
          <w:tcPr>
            <w:tcW w:w="981" w:type="dxa"/>
            <w:vAlign w:val="center"/>
          </w:tcPr>
          <w:p w14:paraId="24F509A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比例</w:t>
            </w:r>
          </w:p>
        </w:tc>
        <w:tc>
          <w:tcPr>
            <w:tcW w:w="1152" w:type="dxa"/>
            <w:vAlign w:val="center"/>
          </w:tcPr>
          <w:p w14:paraId="79A7706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eastAsia" w:ascii="Times New Roman" w:hAnsi="Times New Roman" w:eastAsia="宋体" w:cs="Times New Roman"/>
                <w:sz w:val="24"/>
                <w:szCs w:val="24"/>
                <w:highlight w:val="none"/>
                <w:lang w:val="en-US" w:eastAsia="zh-CN"/>
              </w:rPr>
              <w:t>10</w:t>
            </w:r>
            <w:r>
              <w:rPr>
                <w:rFonts w:hint="default" w:ascii="Times New Roman" w:hAnsi="Times New Roman" w:cs="Times New Roman" w:eastAsiaTheme="minorEastAsia"/>
                <w:color w:val="auto"/>
                <w:sz w:val="24"/>
                <w:szCs w:val="24"/>
              </w:rPr>
              <w:t>%</w:t>
            </w:r>
          </w:p>
        </w:tc>
      </w:tr>
      <w:tr w14:paraId="39B70D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51" w:type="dxa"/>
            <w:vAlign w:val="center"/>
          </w:tcPr>
          <w:p w14:paraId="62A0F9B5">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实际总概算</w:t>
            </w:r>
          </w:p>
        </w:tc>
        <w:tc>
          <w:tcPr>
            <w:tcW w:w="1876" w:type="dxa"/>
            <w:vAlign w:val="center"/>
          </w:tcPr>
          <w:p w14:paraId="30A3C3C3">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eastAsia="宋体" w:cs="Times New Roman"/>
                <w:sz w:val="24"/>
                <w:szCs w:val="24"/>
                <w:highlight w:val="none"/>
                <w:lang w:val="en-US" w:eastAsia="zh-CN"/>
              </w:rPr>
              <w:t>一期15</w:t>
            </w:r>
            <w:r>
              <w:rPr>
                <w:rFonts w:hint="default" w:ascii="Times New Roman" w:hAnsi="Times New Roman" w:eastAsia="宋体" w:cs="Times New Roman"/>
                <w:sz w:val="24"/>
                <w:szCs w:val="24"/>
                <w:highlight w:val="none"/>
              </w:rPr>
              <w:t>0</w:t>
            </w:r>
            <w:r>
              <w:rPr>
                <w:rFonts w:hint="default" w:ascii="Times New Roman" w:hAnsi="Times New Roman" w:cs="Times New Roman" w:eastAsiaTheme="minorEastAsia"/>
                <w:color w:val="auto"/>
                <w:sz w:val="24"/>
                <w:szCs w:val="24"/>
                <w:lang w:val="en-US" w:eastAsia="zh-CN"/>
              </w:rPr>
              <w:t>万元</w:t>
            </w:r>
          </w:p>
        </w:tc>
        <w:tc>
          <w:tcPr>
            <w:tcW w:w="2095" w:type="dxa"/>
            <w:vAlign w:val="center"/>
          </w:tcPr>
          <w:p w14:paraId="3948BF98">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环保投资</w:t>
            </w:r>
          </w:p>
        </w:tc>
        <w:tc>
          <w:tcPr>
            <w:tcW w:w="1402" w:type="dxa"/>
            <w:vAlign w:val="center"/>
          </w:tcPr>
          <w:p w14:paraId="53C41BD5">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15</w:t>
            </w:r>
            <w:r>
              <w:rPr>
                <w:rFonts w:hint="default" w:ascii="Times New Roman" w:hAnsi="Times New Roman" w:cs="Times New Roman" w:eastAsiaTheme="minorEastAsia"/>
                <w:color w:val="auto"/>
                <w:sz w:val="24"/>
                <w:szCs w:val="24"/>
                <w:lang w:val="en-US" w:eastAsia="zh-CN"/>
              </w:rPr>
              <w:t>万</w:t>
            </w:r>
          </w:p>
        </w:tc>
        <w:tc>
          <w:tcPr>
            <w:tcW w:w="981" w:type="dxa"/>
            <w:vAlign w:val="center"/>
          </w:tcPr>
          <w:p w14:paraId="0EA8544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比例</w:t>
            </w:r>
          </w:p>
        </w:tc>
        <w:tc>
          <w:tcPr>
            <w:tcW w:w="1152" w:type="dxa"/>
            <w:vAlign w:val="center"/>
          </w:tcPr>
          <w:p w14:paraId="482730D5">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eastAsia" w:ascii="Times New Roman" w:hAnsi="Times New Roman" w:eastAsia="宋体" w:cs="Times New Roman"/>
                <w:sz w:val="24"/>
                <w:szCs w:val="24"/>
                <w:highlight w:val="none"/>
                <w:lang w:val="en-US" w:eastAsia="zh-CN"/>
              </w:rPr>
              <w:t>10</w:t>
            </w:r>
            <w:r>
              <w:rPr>
                <w:rFonts w:hint="default" w:ascii="Times New Roman" w:hAnsi="Times New Roman" w:cs="Times New Roman" w:eastAsiaTheme="minorEastAsia"/>
                <w:color w:val="auto"/>
                <w:sz w:val="24"/>
                <w:szCs w:val="24"/>
              </w:rPr>
              <w:t>%</w:t>
            </w:r>
          </w:p>
        </w:tc>
      </w:tr>
      <w:tr w14:paraId="55A60C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1751" w:type="dxa"/>
            <w:vAlign w:val="center"/>
          </w:tcPr>
          <w:p w14:paraId="16A1067E">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lang w:eastAsia="zh-CN"/>
              </w:rPr>
              <w:t>验收范围</w:t>
            </w:r>
          </w:p>
        </w:tc>
        <w:tc>
          <w:tcPr>
            <w:tcW w:w="7506" w:type="dxa"/>
            <w:gridSpan w:val="5"/>
            <w:vAlign w:val="center"/>
          </w:tcPr>
          <w:p w14:paraId="06DE00C5">
            <w:pPr>
              <w:keepNext w:val="0"/>
              <w:keepLines w:val="0"/>
              <w:pageBreakBefore w:val="0"/>
              <w:widowControl/>
              <w:kinsoku/>
              <w:wordWrap/>
              <w:overflowPunct/>
              <w:topLinePunct w:val="0"/>
              <w:autoSpaceDE/>
              <w:autoSpaceDN/>
              <w:bidi w:val="0"/>
              <w:adjustRightInd w:val="0"/>
              <w:snapToGrid w:val="0"/>
              <w:spacing w:after="0" w:afterLines="0" w:line="240" w:lineRule="auto"/>
              <w:ind w:firstLine="480" w:firstLineChars="200"/>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本项目主体工程、辅助工程、生产设备的实际建设情况和环保设施建设、运行及环保要求落实情况等。</w:t>
            </w:r>
          </w:p>
        </w:tc>
      </w:tr>
      <w:tr w14:paraId="7D9280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02" w:hRule="atLeast"/>
          <w:jc w:val="center"/>
        </w:trPr>
        <w:tc>
          <w:tcPr>
            <w:tcW w:w="9257" w:type="dxa"/>
            <w:gridSpan w:val="6"/>
            <w:vAlign w:val="center"/>
          </w:tcPr>
          <w:p w14:paraId="24C67190">
            <w:pPr>
              <w:keepNext w:val="0"/>
              <w:keepLines w:val="0"/>
              <w:pageBreakBefore w:val="0"/>
              <w:widowControl/>
              <w:kinsoku/>
              <w:wordWrap/>
              <w:overflowPunct/>
              <w:topLinePunct w:val="0"/>
              <w:autoSpaceDE/>
              <w:autoSpaceDN/>
              <w:bidi w:val="0"/>
              <w:adjustRightInd/>
              <w:snapToGrid/>
              <w:spacing w:after="0" w:afterLines="0" w:line="520" w:lineRule="exact"/>
              <w:ind w:firstLine="482"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项目由来：</w:t>
            </w:r>
          </w:p>
          <w:p w14:paraId="77B591C3">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eastAsia" w:ascii="Times New Roman" w:hAnsi="Times New Roman" w:eastAsia="宋体" w:cs="Times New Roman"/>
                <w:bCs/>
                <w:sz w:val="24"/>
                <w:szCs w:val="24"/>
                <w:lang w:eastAsia="zh-CN"/>
              </w:rPr>
            </w:pPr>
            <w:r>
              <w:rPr>
                <w:rFonts w:hint="default" w:ascii="Times New Roman" w:hAnsi="Times New Roman" w:cs="Times New Roman" w:eastAsiaTheme="minorEastAsia"/>
                <w:sz w:val="24"/>
                <w:szCs w:val="24"/>
                <w:highlight w:val="none"/>
                <w:lang w:val="en-US" w:eastAsia="zh-CN"/>
              </w:rPr>
              <w:t>新乡市科博特起重机械有限公</w:t>
            </w:r>
            <w:r>
              <w:rPr>
                <w:rFonts w:hint="default" w:ascii="Times New Roman" w:hAnsi="Times New Roman" w:cs="Times New Roman" w:eastAsiaTheme="minorEastAsia"/>
                <w:sz w:val="24"/>
                <w:szCs w:val="24"/>
                <w:lang w:val="en-US" w:eastAsia="zh-CN"/>
              </w:rPr>
              <w:t>司</w:t>
            </w:r>
            <w:r>
              <w:rPr>
                <w:rFonts w:hint="eastAsia" w:ascii="Times New Roman" w:hAnsi="Times New Roman" w:cs="Times New Roman" w:eastAsiaTheme="minorEastAsia"/>
                <w:sz w:val="24"/>
                <w:szCs w:val="24"/>
                <w:lang w:val="en-US" w:eastAsia="zh-CN"/>
              </w:rPr>
              <w:t>在长垣市魏庄镇华豫大道中段88号投资20</w:t>
            </w:r>
            <w:r>
              <w:rPr>
                <w:rFonts w:hint="default" w:ascii="Times New Roman" w:hAnsi="Times New Roman" w:cs="Times New Roman" w:eastAsiaTheme="minorEastAsia"/>
                <w:sz w:val="24"/>
                <w:szCs w:val="24"/>
                <w:lang w:val="en-US" w:eastAsia="zh-CN"/>
              </w:rPr>
              <w:t>0</w:t>
            </w:r>
            <w:r>
              <w:rPr>
                <w:rFonts w:hint="eastAsia" w:ascii="Times New Roman" w:hAnsi="Times New Roman" w:cs="Times New Roman" w:eastAsiaTheme="minorEastAsia"/>
                <w:sz w:val="24"/>
                <w:szCs w:val="24"/>
                <w:lang w:val="en-US" w:eastAsia="zh-CN"/>
              </w:rPr>
              <w:t>万元建设</w:t>
            </w:r>
            <w:r>
              <w:rPr>
                <w:rFonts w:hint="default" w:ascii="Times New Roman" w:hAnsi="Times New Roman" w:cs="Times New Roman" w:eastAsiaTheme="minorEastAsia"/>
                <w:sz w:val="24"/>
                <w:szCs w:val="24"/>
                <w:highlight w:val="none"/>
                <w:lang w:val="en-US" w:eastAsia="zh-CN"/>
              </w:rPr>
              <w:t>年产1.2万吨道轨交通配件</w:t>
            </w:r>
            <w:r>
              <w:rPr>
                <w:rFonts w:hint="default" w:ascii="Times New Roman" w:hAnsi="Times New Roman" w:cs="Times New Roman" w:eastAsiaTheme="minorEastAsia"/>
                <w:sz w:val="24"/>
                <w:szCs w:val="24"/>
                <w:lang w:val="en-US" w:eastAsia="zh-CN"/>
              </w:rPr>
              <w:t>项目</w:t>
            </w:r>
            <w:r>
              <w:rPr>
                <w:rFonts w:hint="eastAsia" w:ascii="Times New Roman" w:hAnsi="Times New Roman" w:cs="Times New Roman" w:eastAsiaTheme="minorEastAsia"/>
                <w:sz w:val="24"/>
                <w:szCs w:val="24"/>
                <w:lang w:val="en-US" w:eastAsia="zh-CN"/>
              </w:rPr>
              <w:t>。经现场勘查，本项目砂处理系统为二期建设；其他均为一期建设，一期已建设完成，产能为</w:t>
            </w:r>
            <w:r>
              <w:rPr>
                <w:rFonts w:hint="default" w:ascii="Times New Roman" w:hAnsi="Times New Roman" w:cs="Times New Roman" w:eastAsiaTheme="minorEastAsia"/>
                <w:sz w:val="24"/>
                <w:szCs w:val="24"/>
                <w:highlight w:val="none"/>
                <w:lang w:val="en-US" w:eastAsia="zh-CN"/>
              </w:rPr>
              <w:t>年产1.2万吨道轨交通配件</w:t>
            </w:r>
            <w:r>
              <w:rPr>
                <w:rFonts w:hint="eastAsia" w:ascii="Times New Roman" w:hAnsi="Times New Roman" w:cs="Times New Roman" w:eastAsiaTheme="minorEastAsia"/>
                <w:sz w:val="24"/>
                <w:szCs w:val="24"/>
                <w:lang w:val="en-US" w:eastAsia="zh-CN"/>
              </w:rPr>
              <w:t>，本</w:t>
            </w:r>
            <w:r>
              <w:rPr>
                <w:rFonts w:hint="default" w:ascii="Times New Roman" w:hAnsi="Times New Roman" w:eastAsia="宋体" w:cs="Times New Roman"/>
                <w:bCs/>
                <w:sz w:val="24"/>
                <w:szCs w:val="24"/>
                <w:lang w:val="en-US" w:eastAsia="zh-CN"/>
              </w:rPr>
              <w:t>项目占地约</w:t>
            </w:r>
            <w:r>
              <w:rPr>
                <w:rFonts w:hint="eastAsia" w:ascii="Times New Roman" w:hAnsi="Times New Roman" w:cs="Times New Roman"/>
                <w:sz w:val="24"/>
                <w:lang w:val="en-US" w:eastAsia="zh-CN"/>
              </w:rPr>
              <w:t>150</w:t>
            </w:r>
            <w:r>
              <w:rPr>
                <w:rFonts w:hint="default" w:ascii="Times New Roman" w:hAnsi="Times New Roman" w:cs="Times New Roman"/>
                <w:sz w:val="24"/>
                <w:lang w:val="en-US" w:eastAsia="zh-CN"/>
              </w:rPr>
              <w:t>0</w:t>
            </w:r>
            <w:r>
              <w:rPr>
                <w:rFonts w:hint="eastAsia" w:ascii="Times New Roman" w:hAnsi="Times New Roman" w:cs="Times New Roman" w:eastAsiaTheme="minorEastAsia"/>
                <w:sz w:val="24"/>
                <w:szCs w:val="24"/>
                <w:lang w:val="en-US" w:eastAsia="zh-CN"/>
              </w:rPr>
              <w:t>m</w:t>
            </w:r>
            <w:r>
              <w:rPr>
                <w:rFonts w:hint="eastAsia" w:ascii="Times New Roman" w:hAnsi="Times New Roman" w:cs="Times New Roman" w:eastAsiaTheme="minorEastAsia"/>
                <w:sz w:val="24"/>
                <w:szCs w:val="24"/>
                <w:vertAlign w:val="superscript"/>
                <w:lang w:val="en-US" w:eastAsia="zh-CN"/>
              </w:rPr>
              <w:t>2</w:t>
            </w:r>
            <w:r>
              <w:rPr>
                <w:rFonts w:hint="default" w:ascii="Times New Roman" w:hAnsi="Times New Roman" w:eastAsia="宋体" w:cs="Times New Roman"/>
                <w:bCs/>
                <w:sz w:val="24"/>
                <w:szCs w:val="24"/>
                <w:lang w:eastAsia="zh-CN"/>
              </w:rPr>
              <w:t>。</w:t>
            </w:r>
          </w:p>
          <w:p w14:paraId="681575A0">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Cs/>
                <w:sz w:val="24"/>
                <w:szCs w:val="24"/>
                <w:lang w:val="en-US" w:eastAsia="zh-CN"/>
              </w:rPr>
              <w:t>20</w:t>
            </w:r>
            <w:r>
              <w:rPr>
                <w:rFonts w:hint="eastAsia" w:ascii="Times New Roman" w:hAnsi="Times New Roman" w:eastAsia="宋体" w:cs="Times New Roman"/>
                <w:bCs/>
                <w:sz w:val="24"/>
                <w:szCs w:val="24"/>
                <w:lang w:val="en-US" w:eastAsia="zh-CN"/>
              </w:rPr>
              <w:t>23</w:t>
            </w:r>
            <w:r>
              <w:rPr>
                <w:rFonts w:hint="default" w:ascii="Times New Roman" w:hAnsi="Times New Roman" w:eastAsia="宋体" w:cs="Times New Roman"/>
                <w:bCs/>
                <w:sz w:val="24"/>
                <w:szCs w:val="24"/>
                <w:lang w:val="en-US" w:eastAsia="zh-CN"/>
              </w:rPr>
              <w:t>年</w:t>
            </w:r>
            <w:r>
              <w:rPr>
                <w:rFonts w:hint="eastAsia" w:ascii="Times New Roman" w:hAnsi="Times New Roman" w:eastAsia="宋体" w:cs="Times New Roman"/>
                <w:bCs/>
                <w:sz w:val="24"/>
                <w:szCs w:val="24"/>
                <w:lang w:val="en-US" w:eastAsia="zh-CN"/>
              </w:rPr>
              <w:t>11</w:t>
            </w:r>
            <w:r>
              <w:rPr>
                <w:rFonts w:hint="default" w:ascii="Times New Roman" w:hAnsi="Times New Roman" w:eastAsia="宋体" w:cs="Times New Roman"/>
                <w:bCs/>
                <w:sz w:val="24"/>
                <w:szCs w:val="24"/>
                <w:lang w:val="en-US" w:eastAsia="zh-CN"/>
              </w:rPr>
              <w:t>月，</w:t>
            </w:r>
            <w:r>
              <w:rPr>
                <w:rFonts w:hint="eastAsia" w:ascii="Times New Roman" w:hAnsi="Times New Roman" w:cs="Times New Roman" w:eastAsiaTheme="minorEastAsia"/>
                <w:color w:val="auto"/>
                <w:sz w:val="24"/>
                <w:szCs w:val="24"/>
                <w:lang w:val="en-US" w:eastAsia="zh-CN"/>
              </w:rPr>
              <w:t>河南省凝博生态科技</w:t>
            </w:r>
            <w:r>
              <w:rPr>
                <w:rFonts w:hint="eastAsia" w:ascii="Times New Roman" w:hAnsi="Times New Roman" w:cs="Times New Roman" w:eastAsiaTheme="minorEastAsia"/>
                <w:color w:val="auto"/>
                <w:sz w:val="24"/>
                <w:szCs w:val="24"/>
                <w:lang w:eastAsia="zh-CN"/>
              </w:rPr>
              <w:t>有限公司</w:t>
            </w:r>
            <w:r>
              <w:rPr>
                <w:rFonts w:hint="default" w:ascii="Times New Roman" w:hAnsi="Times New Roman" w:eastAsia="宋体" w:cs="Times New Roman"/>
                <w:color w:val="auto"/>
                <w:sz w:val="24"/>
                <w:szCs w:val="24"/>
                <w:lang w:val="en-US" w:eastAsia="zh-CN"/>
              </w:rPr>
              <w:t>编制完成了本项目的环境影响报告表，</w:t>
            </w:r>
            <w:r>
              <w:rPr>
                <w:rFonts w:hint="eastAsia" w:ascii="Times New Roman" w:hAnsi="Times New Roman" w:eastAsia="宋体" w:cs="Times New Roman"/>
                <w:color w:val="auto"/>
                <w:sz w:val="24"/>
                <w:szCs w:val="24"/>
                <w:highlight w:val="none"/>
                <w:lang w:val="en-US" w:eastAsia="zh-CN"/>
              </w:rPr>
              <w:t>2023</w:t>
            </w:r>
            <w:r>
              <w:rPr>
                <w:rFonts w:hint="default" w:ascii="Times New Roman" w:hAnsi="Times New Roman" w:eastAsia="宋体" w:cs="Times New Roman"/>
                <w:color w:val="auto"/>
                <w:sz w:val="24"/>
                <w:szCs w:val="24"/>
                <w:highlight w:val="none"/>
                <w:lang w:val="en-US" w:eastAsia="zh-CN"/>
              </w:rPr>
              <w:t>年</w:t>
            </w:r>
            <w:r>
              <w:rPr>
                <w:rFonts w:hint="eastAsia" w:ascii="Times New Roman" w:hAnsi="Times New Roman" w:eastAsia="宋体" w:cs="Times New Roman"/>
                <w:color w:val="auto"/>
                <w:sz w:val="24"/>
                <w:szCs w:val="24"/>
                <w:highlight w:val="none"/>
                <w:lang w:val="en-US" w:eastAsia="zh-CN"/>
              </w:rPr>
              <w:t>11</w:t>
            </w:r>
            <w:r>
              <w:rPr>
                <w:rFonts w:hint="default" w:ascii="Times New Roman" w:hAnsi="Times New Roman" w:eastAsia="宋体" w:cs="Times New Roman"/>
                <w:color w:val="auto"/>
                <w:sz w:val="24"/>
                <w:szCs w:val="24"/>
                <w:highlight w:val="none"/>
                <w:lang w:val="en-US" w:eastAsia="zh-CN"/>
              </w:rPr>
              <w:t>月</w:t>
            </w:r>
            <w:r>
              <w:rPr>
                <w:rFonts w:hint="eastAsia"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lang w:val="en-US" w:eastAsia="zh-CN"/>
              </w:rPr>
              <w:t>日，获得</w:t>
            </w:r>
            <w:r>
              <w:rPr>
                <w:rFonts w:hint="eastAsia" w:ascii="Times New Roman" w:hAnsi="Times New Roman" w:cs="Times New Roman" w:eastAsiaTheme="minorEastAsia"/>
                <w:color w:val="auto"/>
                <w:sz w:val="24"/>
                <w:szCs w:val="24"/>
                <w:highlight w:val="none"/>
                <w:lang w:val="en-US" w:eastAsia="zh-CN"/>
              </w:rPr>
              <w:t>长垣市生态环境分局</w:t>
            </w:r>
            <w:r>
              <w:rPr>
                <w:rFonts w:hint="default" w:ascii="Times New Roman" w:hAnsi="Times New Roman" w:eastAsia="宋体" w:cs="Times New Roman"/>
                <w:color w:val="auto"/>
                <w:sz w:val="24"/>
                <w:szCs w:val="24"/>
                <w:highlight w:val="none"/>
                <w:lang w:val="en-US" w:eastAsia="zh-CN"/>
              </w:rPr>
              <w:t>批复（长环审（</w:t>
            </w:r>
            <w:r>
              <w:rPr>
                <w:rFonts w:hint="eastAsia" w:ascii="Times New Roman" w:hAnsi="Times New Roman" w:eastAsia="宋体" w:cs="Times New Roman"/>
                <w:color w:val="auto"/>
                <w:sz w:val="24"/>
                <w:szCs w:val="24"/>
                <w:highlight w:val="none"/>
                <w:lang w:val="en-US" w:eastAsia="zh-CN"/>
              </w:rPr>
              <w:t>2023</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70</w:t>
            </w:r>
            <w:r>
              <w:rPr>
                <w:rFonts w:hint="default" w:ascii="Times New Roman" w:hAnsi="Times New Roman" w:eastAsia="宋体" w:cs="Times New Roman"/>
                <w:color w:val="auto"/>
                <w:sz w:val="24"/>
                <w:szCs w:val="24"/>
                <w:lang w:val="en-US" w:eastAsia="zh-CN"/>
              </w:rPr>
              <w:t>号）。</w:t>
            </w:r>
          </w:p>
          <w:p w14:paraId="4507203C">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根据《建设项目竣工环境保护验收技术指南污染影响类》和《建设项目竣工环境保护验收暂行办法》，</w:t>
            </w:r>
            <w:r>
              <w:rPr>
                <w:rFonts w:hint="eastAsia" w:eastAsia="宋体"/>
                <w:color w:val="auto"/>
                <w:sz w:val="24"/>
                <w:szCs w:val="24"/>
                <w:lang w:eastAsia="zh-CN"/>
              </w:rPr>
              <w:t>我</w:t>
            </w:r>
            <w:r>
              <w:rPr>
                <w:rFonts w:hint="default" w:ascii="Times New Roman" w:hAnsi="Times New Roman" w:eastAsia="宋体" w:cs="Times New Roman"/>
                <w:color w:val="auto"/>
                <w:sz w:val="24"/>
                <w:szCs w:val="24"/>
                <w:lang w:val="en-US" w:eastAsia="zh-CN"/>
              </w:rPr>
              <w:t>公司</w:t>
            </w:r>
            <w:r>
              <w:rPr>
                <w:rFonts w:hint="eastAsia" w:ascii="Times New Roman" w:hAnsi="Times New Roman" w:eastAsia="宋体" w:cs="Times New Roman"/>
                <w:color w:val="auto"/>
                <w:sz w:val="24"/>
                <w:szCs w:val="24"/>
                <w:lang w:val="en-US" w:eastAsia="zh-CN"/>
              </w:rPr>
              <w:t>编制了</w:t>
            </w:r>
            <w:r>
              <w:rPr>
                <w:rFonts w:hint="default" w:ascii="Times New Roman" w:hAnsi="Times New Roman" w:eastAsia="宋体" w:cs="Times New Roman"/>
                <w:color w:val="auto"/>
                <w:sz w:val="24"/>
                <w:szCs w:val="24"/>
                <w:lang w:val="en-US" w:eastAsia="zh-CN"/>
              </w:rPr>
              <w:t>该项目的竣工环境保护验收监测工作</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按照国家有关规范要求，编制完成本项目的验收报告。</w:t>
            </w:r>
          </w:p>
          <w:p w14:paraId="002EBE4F">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p>
          <w:p w14:paraId="1658D832">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p>
          <w:p w14:paraId="103F20EB">
            <w:pPr>
              <w:keepNext w:val="0"/>
              <w:keepLines w:val="0"/>
              <w:pageBreakBefore w:val="0"/>
              <w:widowControl/>
              <w:kinsoku/>
              <w:wordWrap/>
              <w:overflowPunct/>
              <w:topLinePunct w:val="0"/>
              <w:autoSpaceDE/>
              <w:autoSpaceDN/>
              <w:bidi w:val="0"/>
              <w:adjustRightInd/>
              <w:snapToGrid/>
              <w:spacing w:after="0" w:afterLines="0" w:line="520" w:lineRule="exact"/>
              <w:jc w:val="both"/>
              <w:textAlignment w:val="auto"/>
              <w:outlineLvl w:val="9"/>
              <w:rPr>
                <w:rFonts w:hint="default" w:ascii="Times New Roman" w:hAnsi="Times New Roman" w:eastAsia="宋体" w:cs="Times New Roman"/>
                <w:color w:val="auto"/>
                <w:sz w:val="24"/>
                <w:szCs w:val="24"/>
                <w:lang w:val="en-US"/>
              </w:rPr>
            </w:pPr>
          </w:p>
        </w:tc>
      </w:tr>
      <w:tr w14:paraId="76A52D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30" w:hRule="atLeast"/>
          <w:jc w:val="center"/>
        </w:trPr>
        <w:tc>
          <w:tcPr>
            <w:tcW w:w="1751" w:type="dxa"/>
            <w:vAlign w:val="center"/>
          </w:tcPr>
          <w:p w14:paraId="58639728">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验收监测依据</w:t>
            </w:r>
          </w:p>
        </w:tc>
        <w:tc>
          <w:tcPr>
            <w:tcW w:w="7506" w:type="dxa"/>
            <w:gridSpan w:val="5"/>
            <w:vAlign w:val="center"/>
          </w:tcPr>
          <w:p w14:paraId="48B6AB37">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（1）《中华人民共和国环境保护法》（2015.1.1）；</w:t>
            </w:r>
          </w:p>
          <w:p w14:paraId="47E29311">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（2）《中华人民共和国环境影响评价法》（</w:t>
            </w:r>
            <w:r>
              <w:rPr>
                <w:rFonts w:hint="eastAsia" w:ascii="Times New Roman" w:hAnsi="Times New Roman" w:cs="Times New Roman" w:eastAsiaTheme="minorEastAsia"/>
                <w:sz w:val="24"/>
                <w:szCs w:val="24"/>
                <w:lang w:val="en-US" w:eastAsia="zh-CN"/>
              </w:rPr>
              <w:t>2018.12.29</w:t>
            </w:r>
            <w:r>
              <w:rPr>
                <w:rFonts w:hint="default" w:ascii="Times New Roman" w:hAnsi="Times New Roman" w:cs="Times New Roman" w:eastAsiaTheme="minorEastAsia"/>
                <w:sz w:val="24"/>
                <w:szCs w:val="24"/>
                <w:lang w:val="en-US" w:eastAsia="zh-CN"/>
              </w:rPr>
              <w:t>）；</w:t>
            </w:r>
          </w:p>
          <w:p w14:paraId="7FC0FA97">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（3）《中华人民共和国大气污染防治法》（</w:t>
            </w:r>
            <w:r>
              <w:rPr>
                <w:rFonts w:hint="eastAsia" w:ascii="Times New Roman" w:hAnsi="Times New Roman" w:cs="Times New Roman" w:eastAsiaTheme="minorEastAsia"/>
                <w:sz w:val="24"/>
                <w:szCs w:val="24"/>
                <w:lang w:val="en-US" w:eastAsia="zh-CN"/>
              </w:rPr>
              <w:t>2018.10.26</w:t>
            </w:r>
            <w:r>
              <w:rPr>
                <w:rFonts w:hint="default" w:ascii="Times New Roman" w:hAnsi="Times New Roman" w:cs="Times New Roman" w:eastAsiaTheme="minorEastAsia"/>
                <w:sz w:val="24"/>
                <w:szCs w:val="24"/>
                <w:lang w:val="en-US" w:eastAsia="zh-CN"/>
              </w:rPr>
              <w:t>）；</w:t>
            </w:r>
          </w:p>
          <w:p w14:paraId="3B9AE25D">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（4）《中华人民共和国水污染防治法》（</w:t>
            </w:r>
            <w:r>
              <w:rPr>
                <w:rFonts w:hint="eastAsia" w:ascii="Times New Roman" w:hAnsi="Times New Roman" w:cs="Times New Roman" w:eastAsiaTheme="minorEastAsia"/>
                <w:sz w:val="24"/>
                <w:szCs w:val="24"/>
                <w:lang w:val="en-US" w:eastAsia="zh-CN"/>
              </w:rPr>
              <w:t>2017.6.27</w:t>
            </w:r>
            <w:r>
              <w:rPr>
                <w:rFonts w:hint="default" w:ascii="Times New Roman" w:hAnsi="Times New Roman" w:cs="Times New Roman" w:eastAsiaTheme="minorEastAsia"/>
                <w:sz w:val="24"/>
                <w:szCs w:val="24"/>
                <w:lang w:val="en-US" w:eastAsia="zh-CN"/>
              </w:rPr>
              <w:t>）；</w:t>
            </w:r>
          </w:p>
          <w:p w14:paraId="0DFC1E19">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（5）《中华人民共和国固体废物污染环境防治法》</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eastAsiaTheme="minorEastAsia"/>
                <w:sz w:val="24"/>
                <w:szCs w:val="24"/>
                <w:lang w:val="en-US" w:eastAsia="zh-CN"/>
              </w:rPr>
              <w:t>20.9.1）</w:t>
            </w:r>
            <w:r>
              <w:rPr>
                <w:rFonts w:hint="default" w:ascii="Times New Roman" w:hAnsi="Times New Roman" w:cs="Times New Roman" w:eastAsiaTheme="minorEastAsia"/>
                <w:sz w:val="24"/>
                <w:szCs w:val="24"/>
                <w:lang w:val="en-US" w:eastAsia="zh-CN"/>
              </w:rPr>
              <w:t>；</w:t>
            </w:r>
          </w:p>
          <w:p w14:paraId="3BC6A223">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（6）《中华人民共和国环境噪声污染防治法》</w:t>
            </w:r>
            <w:r>
              <w:rPr>
                <w:rFonts w:hint="eastAsia" w:ascii="Times New Roman" w:hAnsi="Times New Roman" w:cs="Times New Roman" w:eastAsiaTheme="minorEastAsia"/>
                <w:sz w:val="24"/>
                <w:szCs w:val="24"/>
                <w:lang w:val="en-US" w:eastAsia="zh-CN"/>
              </w:rPr>
              <w:t>（2018.12.29）</w:t>
            </w:r>
            <w:r>
              <w:rPr>
                <w:rFonts w:hint="default" w:ascii="Times New Roman" w:hAnsi="Times New Roman" w:cs="Times New Roman" w:eastAsiaTheme="minorEastAsia"/>
                <w:sz w:val="24"/>
                <w:szCs w:val="24"/>
                <w:lang w:val="en-US" w:eastAsia="zh-CN"/>
              </w:rPr>
              <w:t>；</w:t>
            </w:r>
          </w:p>
          <w:p w14:paraId="5EFF7800">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（7）《国家危险废物名录》</w:t>
            </w:r>
            <w:r>
              <w:rPr>
                <w:rFonts w:hint="eastAsia" w:ascii="Times New Roman" w:hAnsi="Times New Roman" w:cs="Times New Roman" w:eastAsiaTheme="minorEastAsia"/>
                <w:sz w:val="24"/>
                <w:szCs w:val="24"/>
                <w:lang w:val="en-US" w:eastAsia="zh-CN"/>
              </w:rPr>
              <w:t>（2021版）</w:t>
            </w:r>
            <w:r>
              <w:rPr>
                <w:rFonts w:hint="default" w:ascii="Times New Roman" w:hAnsi="Times New Roman" w:cs="Times New Roman" w:eastAsiaTheme="minorEastAsia"/>
                <w:sz w:val="24"/>
                <w:szCs w:val="24"/>
                <w:lang w:val="en-US" w:eastAsia="zh-CN"/>
              </w:rPr>
              <w:t>；</w:t>
            </w:r>
          </w:p>
          <w:p w14:paraId="60C126A6">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（8）《危险废物贮存污染控制标准》</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GB18597-20</w:t>
            </w:r>
            <w:r>
              <w:rPr>
                <w:rFonts w:hint="eastAsia" w:ascii="Times New Roman" w:hAnsi="Times New Roman" w:cs="Times New Roman" w:eastAsiaTheme="minorEastAsia"/>
                <w:sz w:val="24"/>
                <w:szCs w:val="24"/>
                <w:lang w:val="en-US" w:eastAsia="zh-CN"/>
              </w:rPr>
              <w:t>2</w:t>
            </w:r>
            <w:r>
              <w:rPr>
                <w:rFonts w:hint="default" w:ascii="Times New Roman" w:hAnsi="Times New Roman" w:cs="Times New Roman" w:eastAsiaTheme="minorEastAsia"/>
                <w:sz w:val="24"/>
                <w:szCs w:val="24"/>
                <w:lang w:val="en-US" w:eastAsia="zh-CN"/>
              </w:rPr>
              <w:t>3）；</w:t>
            </w:r>
          </w:p>
          <w:p w14:paraId="487B15D1">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（9）《一般工业固体废物贮存、处置场污染控制标准》</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GB18599-20</w:t>
            </w:r>
            <w:r>
              <w:rPr>
                <w:rFonts w:hint="eastAsia" w:ascii="Times New Roman" w:hAnsi="Times New Roman" w:cs="Times New Roman" w:eastAsiaTheme="minorEastAsia"/>
                <w:sz w:val="24"/>
                <w:szCs w:val="24"/>
                <w:lang w:val="en-US" w:eastAsia="zh-CN"/>
              </w:rPr>
              <w:t>20）</w:t>
            </w:r>
            <w:r>
              <w:rPr>
                <w:rFonts w:hint="default" w:ascii="Times New Roman" w:hAnsi="Times New Roman" w:cs="Times New Roman" w:eastAsiaTheme="minorEastAsia"/>
                <w:sz w:val="24"/>
                <w:szCs w:val="24"/>
                <w:lang w:val="en-US" w:eastAsia="zh-CN"/>
              </w:rPr>
              <w:t>；</w:t>
            </w:r>
          </w:p>
          <w:p w14:paraId="302C856B">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（10）《建设项目环境保护管理条例》（2017 国务院令 第682号）；</w:t>
            </w:r>
          </w:p>
          <w:p w14:paraId="5A47D0DF">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（11）《关于印发环评管理中部分行业建设项目重大变动清单的通知》（环境保护部办公厅文件，环办[2015]52号）；</w:t>
            </w:r>
          </w:p>
          <w:p w14:paraId="56D9C62C">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（12）《建设项目竣工环境保护验收技术指南 污染影响类》（2018.5.16）；</w:t>
            </w:r>
          </w:p>
          <w:p w14:paraId="0EF56F9F">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（13）《建设项目竣工环境保护验收暂行办法》（2017.11.20）；</w:t>
            </w:r>
          </w:p>
          <w:p w14:paraId="547DFDA1">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（14）《</w:t>
            </w:r>
            <w:r>
              <w:rPr>
                <w:rFonts w:hint="default" w:ascii="Times New Roman" w:hAnsi="Times New Roman" w:cs="Times New Roman" w:eastAsiaTheme="minorEastAsia"/>
                <w:sz w:val="24"/>
                <w:szCs w:val="24"/>
                <w:highlight w:val="none"/>
                <w:lang w:val="en-US" w:eastAsia="zh-CN"/>
              </w:rPr>
              <w:t>新乡市科博特起重机械有限公司年产1.2万吨道轨交通配件项目</w:t>
            </w:r>
            <w:r>
              <w:rPr>
                <w:rFonts w:hint="eastAsia" w:ascii="Times New Roman" w:hAnsi="Times New Roman" w:cs="Times New Roman" w:eastAsiaTheme="minorEastAsia"/>
                <w:sz w:val="24"/>
                <w:szCs w:val="24"/>
                <w:highlight w:val="none"/>
                <w:lang w:val="en-US" w:eastAsia="zh-CN"/>
              </w:rPr>
              <w:t>环境影响报告表</w:t>
            </w:r>
            <w:r>
              <w:rPr>
                <w:rFonts w:hint="default" w:ascii="Times New Roman" w:hAnsi="Times New Roman" w:cs="Times New Roman" w:eastAsiaTheme="minorEastAsia"/>
                <w:sz w:val="24"/>
                <w:szCs w:val="24"/>
                <w:lang w:val="en-US" w:eastAsia="zh-CN"/>
              </w:rPr>
              <w:t>》（</w:t>
            </w:r>
            <w:r>
              <w:rPr>
                <w:rFonts w:hint="eastAsia" w:ascii="Times New Roman" w:hAnsi="Times New Roman" w:cs="Times New Roman" w:eastAsiaTheme="minorEastAsia"/>
                <w:color w:val="auto"/>
                <w:sz w:val="24"/>
                <w:szCs w:val="24"/>
                <w:lang w:val="en-US" w:eastAsia="zh-CN"/>
              </w:rPr>
              <w:t>河南省凝博生态科技</w:t>
            </w:r>
            <w:r>
              <w:rPr>
                <w:rFonts w:hint="eastAsia" w:ascii="Times New Roman" w:hAnsi="Times New Roman" w:cs="Times New Roman" w:eastAsiaTheme="minorEastAsia"/>
                <w:color w:val="auto"/>
                <w:sz w:val="24"/>
                <w:szCs w:val="24"/>
                <w:lang w:eastAsia="zh-CN"/>
              </w:rPr>
              <w:t>有限公司</w:t>
            </w: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eastAsiaTheme="minorEastAsia"/>
                <w:sz w:val="24"/>
                <w:szCs w:val="24"/>
                <w:lang w:val="en-US" w:eastAsia="zh-CN"/>
              </w:rPr>
              <w:t>23</w:t>
            </w:r>
            <w:r>
              <w:rPr>
                <w:rFonts w:hint="default" w:ascii="Times New Roman" w:hAnsi="Times New Roman" w:cs="Times New Roman" w:eastAsiaTheme="minorEastAsia"/>
                <w:sz w:val="24"/>
                <w:szCs w:val="24"/>
                <w:lang w:val="en-US" w:eastAsia="zh-CN"/>
              </w:rPr>
              <w:t>年）；</w:t>
            </w:r>
          </w:p>
          <w:p w14:paraId="069B4DB0">
            <w:pPr>
              <w:keepNext w:val="0"/>
              <w:keepLines w:val="0"/>
              <w:pageBreakBefore w:val="0"/>
              <w:widowControl/>
              <w:suppressLineNumbers w:val="0"/>
              <w:kinsoku/>
              <w:wordWrap/>
              <w:overflowPunct/>
              <w:topLinePunct w:val="0"/>
              <w:autoSpaceDE/>
              <w:autoSpaceDN/>
              <w:bidi w:val="0"/>
              <w:adjustRightInd/>
              <w:snapToGrid/>
              <w:spacing w:before="0" w:beforeAutospacing="0" w:after="0" w:afterLines="0" w:afterAutospacing="0" w:line="520" w:lineRule="exact"/>
              <w:ind w:left="0" w:right="0"/>
              <w:jc w:val="left"/>
              <w:textAlignment w:val="auto"/>
              <w:outlineLvl w:val="9"/>
              <w:rPr>
                <w:rFonts w:hint="default" w:ascii="Times New Roman" w:hAnsi="Times New Roman" w:eastAsia="宋体" w:cs="Times New Roman"/>
                <w:color w:val="auto"/>
                <w:sz w:val="24"/>
                <w:szCs w:val="24"/>
                <w:highlight w:val="yellow"/>
                <w:lang w:val="en-US" w:eastAsia="zh-CN"/>
              </w:rPr>
            </w:pPr>
            <w:r>
              <w:rPr>
                <w:rFonts w:hint="default" w:ascii="Times New Roman" w:hAnsi="Times New Roman" w:cs="Times New Roman" w:eastAsiaTheme="minorEastAsia"/>
                <w:sz w:val="24"/>
                <w:szCs w:val="24"/>
                <w:lang w:val="en-US" w:eastAsia="zh-CN"/>
              </w:rPr>
              <w:t>（15）</w:t>
            </w:r>
            <w:r>
              <w:rPr>
                <w:rFonts w:hint="eastAsia" w:ascii="Times New Roman" w:hAnsi="Times New Roman" w:cs="Times New Roman" w:eastAsiaTheme="minorEastAsia"/>
                <w:color w:val="auto"/>
                <w:sz w:val="24"/>
                <w:szCs w:val="24"/>
                <w:highlight w:val="none"/>
                <w:lang w:val="en-US" w:eastAsia="zh-CN"/>
              </w:rPr>
              <w:t>新乡市</w:t>
            </w:r>
            <w:r>
              <w:rPr>
                <w:rFonts w:hint="eastAsia" w:ascii="Times New Roman" w:hAnsi="Times New Roman" w:cs="Times New Roman" w:eastAsiaTheme="minorEastAsia"/>
                <w:sz w:val="24"/>
                <w:szCs w:val="24"/>
                <w:highlight w:val="none"/>
                <w:lang w:val="en-US" w:eastAsia="zh-CN"/>
              </w:rPr>
              <w:t>生态环境局长垣分局</w:t>
            </w:r>
            <w:r>
              <w:rPr>
                <w:rFonts w:hint="default" w:ascii="Times New Roman" w:hAnsi="Times New Roman" w:cs="Times New Roman" w:eastAsiaTheme="minorEastAsia"/>
                <w:sz w:val="24"/>
                <w:szCs w:val="24"/>
                <w:highlight w:val="none"/>
                <w:lang w:val="en-US" w:eastAsia="zh-CN"/>
              </w:rPr>
              <w:t>批复关于《新乡市科博特起重机械有限公司年产1.2万吨道轨交通配件项目</w:t>
            </w:r>
            <w:r>
              <w:rPr>
                <w:rFonts w:hint="eastAsia" w:ascii="Times New Roman" w:hAnsi="Times New Roman" w:cs="Times New Roman" w:eastAsiaTheme="minorEastAsia"/>
                <w:sz w:val="24"/>
                <w:szCs w:val="24"/>
                <w:highlight w:val="none"/>
                <w:lang w:val="en-US" w:eastAsia="zh-CN"/>
              </w:rPr>
              <w:t>环境影响报告表</w:t>
            </w:r>
            <w:r>
              <w:rPr>
                <w:rFonts w:hint="default" w:ascii="Times New Roman" w:hAnsi="Times New Roman" w:cs="Times New Roman" w:eastAsiaTheme="minorEastAsia"/>
                <w:sz w:val="24"/>
                <w:szCs w:val="24"/>
                <w:highlight w:val="none"/>
                <w:lang w:val="en-US" w:eastAsia="zh-CN"/>
              </w:rPr>
              <w:t>》的批复（长环审（</w:t>
            </w:r>
            <w:r>
              <w:rPr>
                <w:rFonts w:hint="eastAsia" w:ascii="Times New Roman" w:hAnsi="Times New Roman" w:cs="Times New Roman" w:eastAsiaTheme="minorEastAsia"/>
                <w:sz w:val="24"/>
                <w:szCs w:val="24"/>
                <w:highlight w:val="none"/>
                <w:lang w:val="en-US" w:eastAsia="zh-CN"/>
              </w:rPr>
              <w:t>2023</w:t>
            </w:r>
            <w:r>
              <w:rPr>
                <w:rFonts w:hint="default" w:ascii="Times New Roman" w:hAnsi="Times New Roman" w:cs="Times New Roman" w:eastAsiaTheme="minorEastAsia"/>
                <w:sz w:val="24"/>
                <w:szCs w:val="24"/>
                <w:highlight w:val="none"/>
                <w:lang w:val="en-US" w:eastAsia="zh-CN"/>
              </w:rPr>
              <w:t>）</w:t>
            </w:r>
            <w:r>
              <w:rPr>
                <w:rFonts w:hint="eastAsia" w:ascii="Times New Roman" w:hAnsi="Times New Roman" w:cs="Times New Roman" w:eastAsiaTheme="minorEastAsia"/>
                <w:sz w:val="24"/>
                <w:szCs w:val="24"/>
                <w:highlight w:val="none"/>
                <w:lang w:val="en-US" w:eastAsia="zh-CN"/>
              </w:rPr>
              <w:t>70</w:t>
            </w:r>
            <w:r>
              <w:rPr>
                <w:rFonts w:hint="default" w:ascii="Times New Roman" w:hAnsi="Times New Roman" w:cs="Times New Roman" w:eastAsiaTheme="minorEastAsia"/>
                <w:sz w:val="24"/>
                <w:szCs w:val="24"/>
                <w:highlight w:val="none"/>
                <w:lang w:val="en-US" w:eastAsia="zh-CN"/>
              </w:rPr>
              <w:t>号</w:t>
            </w:r>
            <w:r>
              <w:rPr>
                <w:rFonts w:hint="eastAsia" w:ascii="Times New Roman" w:hAnsi="Times New Roman" w:cs="Times New Roman" w:eastAsiaTheme="minorEastAsia"/>
                <w:sz w:val="24"/>
                <w:szCs w:val="24"/>
                <w:highlight w:val="none"/>
                <w:lang w:val="en-US" w:eastAsia="zh-CN"/>
              </w:rPr>
              <w:t>）。</w:t>
            </w:r>
          </w:p>
          <w:p w14:paraId="472D49AC">
            <w:pPr>
              <w:keepNext w:val="0"/>
              <w:keepLines w:val="0"/>
              <w:pageBreakBefore w:val="0"/>
              <w:widowControl/>
              <w:kinsoku/>
              <w:wordWrap/>
              <w:overflowPunct/>
              <w:topLinePunct w:val="0"/>
              <w:autoSpaceDE/>
              <w:autoSpaceDN/>
              <w:bidi w:val="0"/>
              <w:adjustRightInd w:val="0"/>
              <w:snapToGrid w:val="0"/>
              <w:spacing w:after="0" w:afterLines="0" w:line="520" w:lineRule="exact"/>
              <w:jc w:val="left"/>
              <w:textAlignment w:val="auto"/>
              <w:outlineLvl w:val="9"/>
              <w:rPr>
                <w:rFonts w:hint="default" w:ascii="Times New Roman" w:hAnsi="Times New Roman" w:eastAsia="宋体" w:cs="Times New Roman"/>
                <w:color w:val="auto"/>
                <w:sz w:val="24"/>
                <w:szCs w:val="24"/>
                <w:lang w:eastAsia="zh-CN"/>
              </w:rPr>
            </w:pPr>
          </w:p>
        </w:tc>
      </w:tr>
      <w:tr w14:paraId="1ECB37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31" w:hRule="atLeast"/>
          <w:jc w:val="center"/>
        </w:trPr>
        <w:tc>
          <w:tcPr>
            <w:tcW w:w="1751" w:type="dxa"/>
            <w:vAlign w:val="center"/>
          </w:tcPr>
          <w:p w14:paraId="26A89B58">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color w:val="FF0000"/>
                <w:sz w:val="24"/>
                <w:szCs w:val="24"/>
              </w:rPr>
            </w:pPr>
            <w:r>
              <w:rPr>
                <w:rFonts w:hint="default" w:ascii="Times New Roman" w:hAnsi="Times New Roman" w:eastAsia="宋体" w:cs="Times New Roman"/>
                <w:b/>
                <w:bCs/>
                <w:color w:val="auto"/>
                <w:sz w:val="24"/>
                <w:szCs w:val="24"/>
              </w:rPr>
              <w:t>验收监测评价标准、标号、级别、限值</w:t>
            </w:r>
          </w:p>
        </w:tc>
        <w:tc>
          <w:tcPr>
            <w:tcW w:w="7506" w:type="dxa"/>
            <w:gridSpan w:val="5"/>
            <w:vAlign w:val="center"/>
          </w:tcPr>
          <w:p w14:paraId="4259D9E5">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jc w:val="left"/>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污染物排放标准</w:t>
            </w:r>
            <w:r>
              <w:rPr>
                <w:rFonts w:hint="eastAsia" w:ascii="Times New Roman" w:hAnsi="Times New Roman" w:eastAsia="宋体" w:cs="Times New Roman"/>
                <w:b/>
                <w:bCs/>
                <w:color w:val="auto"/>
                <w:sz w:val="24"/>
                <w:szCs w:val="24"/>
                <w:lang w:val="en-US" w:eastAsia="zh-CN"/>
              </w:rPr>
              <w:t>：</w:t>
            </w:r>
          </w:p>
          <w:p w14:paraId="76160AF8">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b/>
                <w:bCs/>
                <w:kern w:val="0"/>
                <w:sz w:val="24"/>
                <w:szCs w:val="24"/>
                <w:lang w:eastAsia="zh-CN"/>
              </w:rPr>
            </w:pPr>
            <w:r>
              <w:rPr>
                <w:rFonts w:hint="default" w:ascii="Times New Roman" w:hAnsi="Times New Roman" w:eastAsia="宋体" w:cs="Times New Roman"/>
                <w:b/>
                <w:bCs/>
                <w:kern w:val="0"/>
                <w:sz w:val="24"/>
                <w:szCs w:val="24"/>
                <w:lang w:eastAsia="zh-CN"/>
              </w:rPr>
              <w:t>表</w:t>
            </w:r>
            <w:r>
              <w:rPr>
                <w:rFonts w:hint="eastAsia" w:ascii="Times New Roman" w:hAnsi="Times New Roman" w:eastAsia="宋体" w:cs="Times New Roman"/>
                <w:b/>
                <w:bCs/>
                <w:kern w:val="0"/>
                <w:sz w:val="24"/>
                <w:szCs w:val="24"/>
                <w:lang w:val="en-US" w:eastAsia="zh-CN"/>
              </w:rPr>
              <w:t>1</w:t>
            </w:r>
            <w:r>
              <w:rPr>
                <w:rFonts w:hint="default" w:ascii="Times New Roman" w:hAnsi="Times New Roman" w:eastAsia="宋体" w:cs="Times New Roman"/>
                <w:b/>
                <w:bCs/>
                <w:kern w:val="0"/>
                <w:sz w:val="24"/>
                <w:szCs w:val="24"/>
                <w:lang w:val="en-US" w:eastAsia="zh-CN"/>
              </w:rPr>
              <w:t xml:space="preserve">    污染物</w:t>
            </w:r>
            <w:r>
              <w:rPr>
                <w:rFonts w:hint="default" w:ascii="Times New Roman" w:hAnsi="Times New Roman" w:eastAsia="宋体" w:cs="Times New Roman"/>
                <w:b/>
                <w:bCs/>
                <w:kern w:val="0"/>
                <w:sz w:val="24"/>
                <w:szCs w:val="24"/>
              </w:rPr>
              <w:t>排放控制标准</w:t>
            </w:r>
            <w:r>
              <w:rPr>
                <w:rFonts w:hint="default" w:ascii="Times New Roman" w:hAnsi="Times New Roman" w:eastAsia="宋体" w:cs="Times New Roman"/>
                <w:b/>
                <w:bCs/>
                <w:kern w:val="0"/>
                <w:sz w:val="24"/>
                <w:szCs w:val="24"/>
                <w:lang w:eastAsia="zh-CN"/>
              </w:rPr>
              <w:t>一览表</w:t>
            </w:r>
          </w:p>
          <w:tbl>
            <w:tblPr>
              <w:tblStyle w:val="17"/>
              <w:tblW w:w="74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7"/>
              <w:gridCol w:w="874"/>
              <w:gridCol w:w="1754"/>
              <w:gridCol w:w="1081"/>
              <w:gridCol w:w="852"/>
              <w:gridCol w:w="2189"/>
            </w:tblGrid>
            <w:tr w14:paraId="40826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7" w:type="dxa"/>
                  <w:vMerge w:val="restart"/>
                  <w:noWrap w:val="0"/>
                  <w:vAlign w:val="center"/>
                </w:tcPr>
                <w:p w14:paraId="2E1C67EA">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环境</w:t>
                  </w:r>
                </w:p>
                <w:p w14:paraId="0FFDD0AA">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要素</w:t>
                  </w:r>
                </w:p>
              </w:tc>
              <w:tc>
                <w:tcPr>
                  <w:tcW w:w="874" w:type="dxa"/>
                  <w:vMerge w:val="restart"/>
                  <w:noWrap w:val="0"/>
                  <w:vAlign w:val="center"/>
                </w:tcPr>
                <w:p w14:paraId="134E2E43">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标准编号</w:t>
                  </w:r>
                </w:p>
              </w:tc>
              <w:tc>
                <w:tcPr>
                  <w:tcW w:w="1754" w:type="dxa"/>
                  <w:vMerge w:val="restart"/>
                  <w:noWrap w:val="0"/>
                  <w:vAlign w:val="center"/>
                </w:tcPr>
                <w:p w14:paraId="5C879032">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标准名称</w:t>
                  </w:r>
                </w:p>
              </w:tc>
              <w:tc>
                <w:tcPr>
                  <w:tcW w:w="1081" w:type="dxa"/>
                  <w:vMerge w:val="restart"/>
                  <w:noWrap w:val="0"/>
                  <w:vAlign w:val="center"/>
                </w:tcPr>
                <w:p w14:paraId="57092862">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执行级别</w:t>
                  </w:r>
                </w:p>
                <w:p w14:paraId="568617FF">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（类别）</w:t>
                  </w:r>
                </w:p>
              </w:tc>
              <w:tc>
                <w:tcPr>
                  <w:tcW w:w="3041" w:type="dxa"/>
                  <w:gridSpan w:val="2"/>
                  <w:noWrap w:val="0"/>
                  <w:vAlign w:val="center"/>
                </w:tcPr>
                <w:p w14:paraId="5CE63241">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主要标准要求</w:t>
                  </w:r>
                </w:p>
              </w:tc>
            </w:tr>
            <w:tr w14:paraId="063FC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7" w:type="dxa"/>
                  <w:vMerge w:val="continue"/>
                  <w:noWrap w:val="0"/>
                  <w:vAlign w:val="center"/>
                </w:tcPr>
                <w:p w14:paraId="0F39451B">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p>
              </w:tc>
              <w:tc>
                <w:tcPr>
                  <w:tcW w:w="874" w:type="dxa"/>
                  <w:vMerge w:val="continue"/>
                  <w:noWrap w:val="0"/>
                  <w:vAlign w:val="center"/>
                </w:tcPr>
                <w:p w14:paraId="4B7EB63A">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p>
              </w:tc>
              <w:tc>
                <w:tcPr>
                  <w:tcW w:w="1754" w:type="dxa"/>
                  <w:vMerge w:val="continue"/>
                  <w:noWrap w:val="0"/>
                  <w:vAlign w:val="center"/>
                </w:tcPr>
                <w:p w14:paraId="3D4B0664">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p>
              </w:tc>
              <w:tc>
                <w:tcPr>
                  <w:tcW w:w="1081" w:type="dxa"/>
                  <w:vMerge w:val="continue"/>
                  <w:noWrap w:val="0"/>
                  <w:vAlign w:val="center"/>
                </w:tcPr>
                <w:p w14:paraId="75C30C53">
                  <w:pPr>
                    <w:pStyle w:val="6"/>
                    <w:keepNext w:val="0"/>
                    <w:keepLines w:val="0"/>
                    <w:pageBreakBefore w:val="0"/>
                    <w:widowControl/>
                    <w:kinsoku/>
                    <w:wordWrap/>
                    <w:overflowPunct/>
                    <w:topLinePunct w:val="0"/>
                    <w:autoSpaceDE/>
                    <w:autoSpaceDN/>
                    <w:bidi w:val="0"/>
                    <w:adjustRightInd w:val="0"/>
                    <w:snapToGrid w:val="0"/>
                    <w:spacing w:after="0"/>
                    <w:ind w:left="0" w:leftChars="0" w:right="0" w:rightChars="0"/>
                    <w:textAlignment w:val="auto"/>
                    <w:rPr>
                      <w:rFonts w:hint="default" w:ascii="Times New Roman" w:hAnsi="Times New Roman" w:cs="Times New Roman" w:eastAsiaTheme="minorEastAsia"/>
                      <w:sz w:val="21"/>
                      <w:szCs w:val="21"/>
                    </w:rPr>
                  </w:pPr>
                </w:p>
              </w:tc>
              <w:tc>
                <w:tcPr>
                  <w:tcW w:w="852" w:type="dxa"/>
                  <w:noWrap w:val="0"/>
                  <w:vAlign w:val="center"/>
                </w:tcPr>
                <w:p w14:paraId="3EF3F782">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kern w:val="0"/>
                      <w:sz w:val="21"/>
                      <w:szCs w:val="21"/>
                    </w:rPr>
                    <w:t>参数</w:t>
                  </w:r>
                </w:p>
              </w:tc>
              <w:tc>
                <w:tcPr>
                  <w:tcW w:w="2189" w:type="dxa"/>
                  <w:noWrap w:val="0"/>
                  <w:vAlign w:val="center"/>
                </w:tcPr>
                <w:p w14:paraId="0C451975">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浓度限值</w:t>
                  </w:r>
                </w:p>
              </w:tc>
            </w:tr>
            <w:tr w14:paraId="5E269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7" w:type="dxa"/>
                  <w:vMerge w:val="restart"/>
                  <w:noWrap w:val="0"/>
                  <w:vAlign w:val="center"/>
                </w:tcPr>
                <w:p w14:paraId="116ADF6B">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废气</w:t>
                  </w:r>
                </w:p>
              </w:tc>
              <w:tc>
                <w:tcPr>
                  <w:tcW w:w="874" w:type="dxa"/>
                  <w:noWrap w:val="0"/>
                  <w:vAlign w:val="center"/>
                </w:tcPr>
                <w:p w14:paraId="69CF203F">
                  <w:pPr>
                    <w:pStyle w:val="22"/>
                    <w:keepNext w:val="0"/>
                    <w:keepLines w:val="0"/>
                    <w:pageBreakBefore w:val="0"/>
                    <w:kinsoku/>
                    <w:wordWrap/>
                    <w:overflowPunct/>
                    <w:topLinePunct w:val="0"/>
                    <w:bidi w:val="0"/>
                    <w:adjustRightInd/>
                    <w:ind w:left="0" w:leftChars="0" w:right="0" w:rightChars="0"/>
                    <w:jc w:val="center"/>
                    <w:textAlignment w:val="auto"/>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bidi="ar-SA"/>
                    </w:rPr>
                    <w:t>DB41</w:t>
                  </w:r>
                </w:p>
                <w:p w14:paraId="28CEDD97">
                  <w:pPr>
                    <w:pStyle w:val="22"/>
                    <w:keepNext w:val="0"/>
                    <w:keepLines w:val="0"/>
                    <w:pageBreakBefore w:val="0"/>
                    <w:kinsoku/>
                    <w:wordWrap/>
                    <w:overflowPunct/>
                    <w:topLinePunct w:val="0"/>
                    <w:bidi w:val="0"/>
                    <w:adjustRightInd/>
                    <w:ind w:left="0" w:leftChars="0" w:right="0" w:rightChars="0"/>
                    <w:jc w:val="center"/>
                    <w:textAlignment w:val="auto"/>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bidi="ar-SA"/>
                    </w:rPr>
                    <w:t>1066-2020</w:t>
                  </w:r>
                </w:p>
              </w:tc>
              <w:tc>
                <w:tcPr>
                  <w:tcW w:w="1754" w:type="dxa"/>
                  <w:noWrap w:val="0"/>
                  <w:vAlign w:val="center"/>
                </w:tcPr>
                <w:p w14:paraId="31B8525C">
                  <w:pPr>
                    <w:pStyle w:val="22"/>
                    <w:keepNext w:val="0"/>
                    <w:keepLines w:val="0"/>
                    <w:pageBreakBefore w:val="0"/>
                    <w:kinsoku/>
                    <w:wordWrap/>
                    <w:overflowPunct/>
                    <w:topLinePunct w:val="0"/>
                    <w:bidi w:val="0"/>
                    <w:ind w:left="0" w:leftChars="0" w:right="0" w:rightChars="0"/>
                    <w:jc w:val="center"/>
                    <w:textAlignment w:val="auto"/>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《工业炉窑大气污染物排放标准》</w:t>
                  </w:r>
                </w:p>
              </w:tc>
              <w:tc>
                <w:tcPr>
                  <w:tcW w:w="1081" w:type="dxa"/>
                  <w:noWrap w:val="0"/>
                  <w:vAlign w:val="center"/>
                </w:tcPr>
                <w:p w14:paraId="6AF54C26">
                  <w:pPr>
                    <w:pStyle w:val="22"/>
                    <w:keepNext w:val="0"/>
                    <w:keepLines w:val="0"/>
                    <w:pageBreakBefore w:val="0"/>
                    <w:kinsoku/>
                    <w:wordWrap/>
                    <w:overflowPunct/>
                    <w:topLinePunct w:val="0"/>
                    <w:bidi w:val="0"/>
                    <w:adjustRightInd/>
                    <w:ind w:left="0" w:leftChars="0" w:right="0" w:rightChars="0"/>
                    <w:jc w:val="center"/>
                    <w:textAlignment w:val="auto"/>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表1铸造工业冲天炉、电炉排放限值</w:t>
                  </w:r>
                </w:p>
              </w:tc>
              <w:tc>
                <w:tcPr>
                  <w:tcW w:w="852" w:type="dxa"/>
                  <w:noWrap w:val="0"/>
                  <w:vAlign w:val="center"/>
                </w:tcPr>
                <w:p w14:paraId="605E6C67">
                  <w:pPr>
                    <w:keepNext w:val="0"/>
                    <w:keepLines w:val="0"/>
                    <w:pageBreakBefore w:val="0"/>
                    <w:kinsoku/>
                    <w:wordWrap/>
                    <w:overflowPunct/>
                    <w:topLinePunct w:val="0"/>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color w:val="auto"/>
                      <w:kern w:val="0"/>
                      <w:sz w:val="21"/>
                      <w:szCs w:val="21"/>
                      <w:lang w:val="en-US" w:eastAsia="zh-CN" w:bidi="ar-SA"/>
                    </w:rPr>
                  </w:pPr>
                  <w:r>
                    <w:rPr>
                      <w:rFonts w:hint="eastAsia" w:ascii="Times New Roman" w:hAnsi="Times New Roman" w:cs="Times New Roman" w:eastAsiaTheme="minorEastAsia"/>
                      <w:color w:val="auto"/>
                      <w:kern w:val="0"/>
                      <w:sz w:val="21"/>
                      <w:szCs w:val="21"/>
                      <w:lang w:val="en-US" w:eastAsia="zh-CN" w:bidi="ar-SA"/>
                    </w:rPr>
                    <w:t>颗粒物</w:t>
                  </w:r>
                </w:p>
              </w:tc>
              <w:tc>
                <w:tcPr>
                  <w:tcW w:w="2189" w:type="dxa"/>
                  <w:noWrap w:val="0"/>
                  <w:vAlign w:val="center"/>
                </w:tcPr>
                <w:p w14:paraId="77956A96">
                  <w:pPr>
                    <w:keepNext w:val="0"/>
                    <w:keepLines w:val="0"/>
                    <w:pageBreakBefore w:val="0"/>
                    <w:kinsoku/>
                    <w:wordWrap/>
                    <w:overflowPunct/>
                    <w:topLinePunct w:val="0"/>
                    <w:bidi w:val="0"/>
                    <w:spacing w:after="0" w:afterLines="0"/>
                    <w:ind w:left="0" w:leftChars="0" w:right="0" w:rightChars="0"/>
                    <w:jc w:val="center"/>
                    <w:textAlignment w:val="auto"/>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bidi="ar-SA"/>
                    </w:rPr>
                    <w:t>有组织：10mg/m</w:t>
                  </w:r>
                  <w:r>
                    <w:rPr>
                      <w:rFonts w:hint="default" w:ascii="Times New Roman" w:hAnsi="Times New Roman" w:cs="Times New Roman" w:eastAsiaTheme="minorEastAsia"/>
                      <w:color w:val="auto"/>
                      <w:kern w:val="0"/>
                      <w:sz w:val="21"/>
                      <w:szCs w:val="21"/>
                      <w:vertAlign w:val="superscript"/>
                      <w:lang w:val="en-US" w:eastAsia="zh-CN" w:bidi="ar-SA"/>
                    </w:rPr>
                    <w:t>3</w:t>
                  </w:r>
                </w:p>
                <w:p w14:paraId="7B616C8F">
                  <w:pPr>
                    <w:keepNext w:val="0"/>
                    <w:keepLines w:val="0"/>
                    <w:pageBreakBefore w:val="0"/>
                    <w:kinsoku/>
                    <w:wordWrap/>
                    <w:overflowPunct/>
                    <w:topLinePunct w:val="0"/>
                    <w:bidi w:val="0"/>
                    <w:adjustRightInd w:val="0"/>
                    <w:snapToGrid w:val="0"/>
                    <w:spacing w:after="0" w:afterLines="0"/>
                    <w:ind w:left="0" w:leftChars="0" w:right="0" w:rightChars="0"/>
                    <w:jc w:val="center"/>
                    <w:textAlignment w:val="auto"/>
                    <w:rPr>
                      <w:rFonts w:hint="default" w:ascii="Times New Roman" w:hAnsi="Times New Roman" w:cs="Times New Roman" w:eastAsiaTheme="minorEastAsia"/>
                      <w:color w:val="auto"/>
                      <w:kern w:val="0"/>
                      <w:sz w:val="21"/>
                      <w:szCs w:val="21"/>
                      <w:lang w:val="en-US" w:eastAsia="zh-CN" w:bidi="ar-SA"/>
                    </w:rPr>
                  </w:pPr>
                  <w:r>
                    <w:rPr>
                      <w:rFonts w:hint="default" w:ascii="Times New Roman" w:hAnsi="Times New Roman" w:cs="Times New Roman" w:eastAsiaTheme="minorEastAsia"/>
                      <w:color w:val="auto"/>
                      <w:kern w:val="0"/>
                      <w:sz w:val="21"/>
                      <w:szCs w:val="21"/>
                      <w:lang w:val="en-US" w:eastAsia="zh-CN" w:bidi="ar-SA"/>
                    </w:rPr>
                    <w:t>无组织：1</w:t>
                  </w:r>
                  <w:r>
                    <w:rPr>
                      <w:rFonts w:hint="eastAsia" w:ascii="Times New Roman" w:hAnsi="Times New Roman" w:cs="Times New Roman" w:eastAsiaTheme="minorEastAsia"/>
                      <w:color w:val="auto"/>
                      <w:kern w:val="0"/>
                      <w:sz w:val="21"/>
                      <w:szCs w:val="21"/>
                      <w:lang w:val="en-US" w:eastAsia="zh-CN" w:bidi="ar-SA"/>
                    </w:rPr>
                    <w:t>.0</w:t>
                  </w:r>
                  <w:r>
                    <w:rPr>
                      <w:rFonts w:hint="default" w:ascii="Times New Roman" w:hAnsi="Times New Roman" w:cs="Times New Roman" w:eastAsiaTheme="minorEastAsia"/>
                      <w:color w:val="auto"/>
                      <w:kern w:val="0"/>
                      <w:sz w:val="21"/>
                      <w:szCs w:val="21"/>
                      <w:lang w:val="en-US" w:eastAsia="zh-CN" w:bidi="ar-SA"/>
                    </w:rPr>
                    <w:t>mg/m</w:t>
                  </w:r>
                  <w:r>
                    <w:rPr>
                      <w:rFonts w:hint="default" w:ascii="Times New Roman" w:hAnsi="Times New Roman" w:cs="Times New Roman" w:eastAsiaTheme="minorEastAsia"/>
                      <w:color w:val="auto"/>
                      <w:kern w:val="0"/>
                      <w:sz w:val="21"/>
                      <w:szCs w:val="21"/>
                      <w:vertAlign w:val="superscript"/>
                      <w:lang w:val="en-US" w:eastAsia="zh-CN" w:bidi="ar-SA"/>
                    </w:rPr>
                    <w:t>3</w:t>
                  </w:r>
                </w:p>
              </w:tc>
            </w:tr>
            <w:tr w14:paraId="5BDEB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7" w:type="dxa"/>
                  <w:vMerge w:val="continue"/>
                  <w:noWrap w:val="0"/>
                  <w:vAlign w:val="center"/>
                </w:tcPr>
                <w:p w14:paraId="2ACD5422">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p>
              </w:tc>
              <w:tc>
                <w:tcPr>
                  <w:tcW w:w="874" w:type="dxa"/>
                  <w:noWrap w:val="0"/>
                  <w:vAlign w:val="center"/>
                </w:tcPr>
                <w:p w14:paraId="2C4A841E">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GB39726-2020</w:t>
                  </w:r>
                </w:p>
              </w:tc>
              <w:tc>
                <w:tcPr>
                  <w:tcW w:w="1754" w:type="dxa"/>
                  <w:noWrap w:val="0"/>
                  <w:vAlign w:val="center"/>
                </w:tcPr>
                <w:p w14:paraId="77EFE154">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《铸造工业大气污染物排放标准》</w:t>
                  </w:r>
                </w:p>
              </w:tc>
              <w:tc>
                <w:tcPr>
                  <w:tcW w:w="1081" w:type="dxa"/>
                  <w:noWrap w:val="0"/>
                  <w:vAlign w:val="center"/>
                </w:tcPr>
                <w:p w14:paraId="592646E1">
                  <w:pPr>
                    <w:pStyle w:val="6"/>
                    <w:keepNext w:val="0"/>
                    <w:keepLines w:val="0"/>
                    <w:pageBreakBefore w:val="0"/>
                    <w:widowControl/>
                    <w:kinsoku/>
                    <w:wordWrap/>
                    <w:overflowPunct/>
                    <w:topLinePunct w:val="0"/>
                    <w:autoSpaceDE/>
                    <w:autoSpaceDN/>
                    <w:bidi w:val="0"/>
                    <w:adjustRightInd w:val="0"/>
                    <w:snapToGrid w:val="0"/>
                    <w:spacing w:after="0"/>
                    <w:ind w:left="0" w:leftChars="0" w:right="0" w:rightChars="0"/>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表1</w:t>
                  </w:r>
                </w:p>
              </w:tc>
              <w:tc>
                <w:tcPr>
                  <w:tcW w:w="852" w:type="dxa"/>
                  <w:noWrap w:val="0"/>
                  <w:vAlign w:val="center"/>
                </w:tcPr>
                <w:p w14:paraId="50D7983B">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kern w:val="0"/>
                      <w:sz w:val="21"/>
                      <w:szCs w:val="21"/>
                    </w:rPr>
                    <w:t>颗粒物</w:t>
                  </w:r>
                </w:p>
              </w:tc>
              <w:tc>
                <w:tcPr>
                  <w:tcW w:w="2189" w:type="dxa"/>
                  <w:noWrap w:val="0"/>
                  <w:vAlign w:val="center"/>
                </w:tcPr>
                <w:p w14:paraId="0BDDF86B">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vertAlign w:val="baseline"/>
                    </w:rPr>
                  </w:pPr>
                  <w:r>
                    <w:rPr>
                      <w:rFonts w:hint="default" w:ascii="Times New Roman" w:hAnsi="Times New Roman" w:cs="Times New Roman" w:eastAsiaTheme="minorEastAsia"/>
                      <w:sz w:val="21"/>
                      <w:szCs w:val="21"/>
                      <w:lang w:eastAsia="zh-CN"/>
                    </w:rPr>
                    <w:t>有组织：</w:t>
                  </w:r>
                  <w:r>
                    <w:rPr>
                      <w:rFonts w:hint="default" w:ascii="Times New Roman" w:hAnsi="Times New Roman" w:cs="Times New Roman" w:eastAsiaTheme="minorEastAsia"/>
                      <w:sz w:val="21"/>
                      <w:szCs w:val="21"/>
                      <w:lang w:val="en-US" w:eastAsia="zh-CN"/>
                    </w:rPr>
                    <w:t>30mg/m</w:t>
                  </w:r>
                  <w:r>
                    <w:rPr>
                      <w:rFonts w:hint="default" w:ascii="Times New Roman" w:hAnsi="Times New Roman" w:cs="Times New Roman" w:eastAsiaTheme="minorEastAsia"/>
                      <w:sz w:val="21"/>
                      <w:szCs w:val="21"/>
                      <w:vertAlign w:val="superscript"/>
                      <w:lang w:val="en-US" w:eastAsia="zh-CN"/>
                    </w:rPr>
                    <w:t>3</w:t>
                  </w:r>
                  <w:r>
                    <w:rPr>
                      <w:rFonts w:hint="default" w:ascii="Times New Roman" w:hAnsi="Times New Roman" w:cs="Times New Roman" w:eastAsiaTheme="minorEastAsia"/>
                      <w:sz w:val="21"/>
                      <w:szCs w:val="21"/>
                      <w:vertAlign w:val="baseline"/>
                      <w:lang w:val="en-US" w:eastAsia="zh-CN"/>
                    </w:rPr>
                    <w:t>（熔炼、造型、落砂、清理、制芯、浇注）</w:t>
                  </w:r>
                </w:p>
              </w:tc>
            </w:tr>
            <w:tr w14:paraId="75D93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7" w:type="dxa"/>
                  <w:vMerge w:val="continue"/>
                  <w:noWrap w:val="0"/>
                  <w:vAlign w:val="center"/>
                </w:tcPr>
                <w:p w14:paraId="56F1BC8D">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p>
              </w:tc>
              <w:tc>
                <w:tcPr>
                  <w:tcW w:w="874" w:type="dxa"/>
                  <w:tcBorders>
                    <w:right w:val="single" w:color="000000" w:sz="4" w:space="0"/>
                  </w:tcBorders>
                  <w:noWrap w:val="0"/>
                  <w:vAlign w:val="center"/>
                </w:tcPr>
                <w:p w14:paraId="4378A53D">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豫环攻坚办[2017]162号</w:t>
                  </w:r>
                </w:p>
              </w:tc>
              <w:tc>
                <w:tcPr>
                  <w:tcW w:w="1754" w:type="dxa"/>
                  <w:tcBorders>
                    <w:left w:val="single" w:color="000000" w:sz="4" w:space="0"/>
                  </w:tcBorders>
                  <w:noWrap w:val="0"/>
                  <w:vAlign w:val="center"/>
                </w:tcPr>
                <w:p w14:paraId="0C9F83DA">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关于全省开展工业企业挥发性有机物专项治理工作中排放建议值的通知</w:t>
                  </w:r>
                </w:p>
              </w:tc>
              <w:tc>
                <w:tcPr>
                  <w:tcW w:w="1081" w:type="dxa"/>
                  <w:tcBorders>
                    <w:left w:val="single" w:color="auto" w:sz="4" w:space="0"/>
                  </w:tcBorders>
                  <w:noWrap w:val="0"/>
                  <w:vAlign w:val="center"/>
                </w:tcPr>
                <w:p w14:paraId="40115D0F">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其他行业</w:t>
                  </w:r>
                </w:p>
              </w:tc>
              <w:tc>
                <w:tcPr>
                  <w:tcW w:w="852" w:type="dxa"/>
                  <w:noWrap w:val="0"/>
                  <w:vAlign w:val="center"/>
                </w:tcPr>
                <w:p w14:paraId="637B6309">
                  <w:pPr>
                    <w:pStyle w:val="46"/>
                    <w:keepNext w:val="0"/>
                    <w:keepLines w:val="0"/>
                    <w:pageBreakBefore w:val="0"/>
                    <w:widowControl/>
                    <w:kinsoku/>
                    <w:wordWrap/>
                    <w:overflowPunct/>
                    <w:topLinePunct w:val="0"/>
                    <w:autoSpaceDE/>
                    <w:autoSpaceDN/>
                    <w:bidi w:val="0"/>
                    <w:adjustRightInd w:val="0"/>
                    <w:snapToGrid w:val="0"/>
                    <w:spacing w:after="0" w:line="240" w:lineRule="auto"/>
                    <w:ind w:left="0" w:leftChars="0" w:right="0" w:rightChars="0"/>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非甲烷总烃</w:t>
                  </w:r>
                </w:p>
              </w:tc>
              <w:tc>
                <w:tcPr>
                  <w:tcW w:w="2189" w:type="dxa"/>
                  <w:noWrap w:val="0"/>
                  <w:vAlign w:val="center"/>
                </w:tcPr>
                <w:p w14:paraId="0E5621C2">
                  <w:pPr>
                    <w:keepNext w:val="0"/>
                    <w:keepLines w:val="0"/>
                    <w:pageBreakBefore w:val="0"/>
                    <w:widowControl/>
                    <w:kinsoku/>
                    <w:wordWrap/>
                    <w:overflowPunct/>
                    <w:topLinePunct w:val="0"/>
                    <w:autoSpaceDE/>
                    <w:autoSpaceDN/>
                    <w:bidi w:val="0"/>
                    <w:adjustRightInd w:val="0"/>
                    <w:snapToGrid w:val="0"/>
                    <w:spacing w:after="0"/>
                    <w:ind w:left="884" w:leftChars="0" w:right="0" w:rightChars="0" w:hanging="884" w:hangingChars="421"/>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有组织：</w:t>
                  </w:r>
                  <w:r>
                    <w:rPr>
                      <w:rFonts w:hint="default" w:ascii="Times New Roman" w:hAnsi="Times New Roman" w:cs="Times New Roman" w:eastAsiaTheme="minorEastAsia"/>
                      <w:sz w:val="21"/>
                      <w:szCs w:val="21"/>
                      <w:lang w:val="en-US" w:eastAsia="zh-CN"/>
                    </w:rPr>
                    <w:t>8</w:t>
                  </w:r>
                  <w:r>
                    <w:rPr>
                      <w:rFonts w:hint="default" w:ascii="Times New Roman" w:hAnsi="Times New Roman" w:cs="Times New Roman" w:eastAsiaTheme="minorEastAsia"/>
                      <w:sz w:val="21"/>
                      <w:szCs w:val="21"/>
                    </w:rPr>
                    <w:t>0mg/m</w:t>
                  </w:r>
                  <w:r>
                    <w:rPr>
                      <w:rFonts w:hint="default" w:ascii="Times New Roman" w:hAnsi="Times New Roman" w:cs="Times New Roman" w:eastAsiaTheme="minorEastAsia"/>
                      <w:sz w:val="21"/>
                      <w:szCs w:val="21"/>
                      <w:vertAlign w:val="superscript"/>
                    </w:rPr>
                    <w:t>3</w:t>
                  </w:r>
                </w:p>
                <w:p w14:paraId="1BC872AA">
                  <w:pPr>
                    <w:keepNext w:val="0"/>
                    <w:keepLines w:val="0"/>
                    <w:pageBreakBefore w:val="0"/>
                    <w:widowControl/>
                    <w:kinsoku/>
                    <w:wordWrap/>
                    <w:overflowPunct/>
                    <w:topLinePunct w:val="0"/>
                    <w:autoSpaceDE/>
                    <w:autoSpaceDN/>
                    <w:bidi w:val="0"/>
                    <w:adjustRightInd w:val="0"/>
                    <w:snapToGrid w:val="0"/>
                    <w:spacing w:after="0"/>
                    <w:ind w:left="0" w:leftChars="0" w:right="0" w:rightChars="0"/>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无组织：2.0mg/m</w:t>
                  </w:r>
                  <w:r>
                    <w:rPr>
                      <w:rFonts w:hint="default" w:ascii="Times New Roman" w:hAnsi="Times New Roman" w:cs="Times New Roman" w:eastAsiaTheme="minorEastAsia"/>
                      <w:sz w:val="21"/>
                      <w:szCs w:val="21"/>
                      <w:vertAlign w:val="superscript"/>
                    </w:rPr>
                    <w:t>3</w:t>
                  </w:r>
                  <w:r>
                    <w:rPr>
                      <w:rFonts w:hint="default" w:ascii="Times New Roman" w:hAnsi="Times New Roman" w:cs="Times New Roman" w:eastAsiaTheme="minorEastAsia"/>
                      <w:sz w:val="21"/>
                      <w:szCs w:val="21"/>
                    </w:rPr>
                    <w:t>（企业边界）</w:t>
                  </w:r>
                </w:p>
              </w:tc>
            </w:tr>
            <w:tr w14:paraId="11D24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7" w:type="dxa"/>
                  <w:vMerge w:val="continue"/>
                  <w:noWrap w:val="0"/>
                  <w:vAlign w:val="center"/>
                </w:tcPr>
                <w:p w14:paraId="39BF0954">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p>
              </w:tc>
              <w:tc>
                <w:tcPr>
                  <w:tcW w:w="3709" w:type="dxa"/>
                  <w:gridSpan w:val="3"/>
                  <w:noWrap w:val="0"/>
                  <w:vAlign w:val="center"/>
                </w:tcPr>
                <w:p w14:paraId="4C9EC827">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新乡市生态环境局关于进一步规范工业企业颗粒物排放限值的通知</w:t>
                  </w:r>
                </w:p>
              </w:tc>
              <w:tc>
                <w:tcPr>
                  <w:tcW w:w="852" w:type="dxa"/>
                  <w:noWrap w:val="0"/>
                  <w:vAlign w:val="center"/>
                </w:tcPr>
                <w:p w14:paraId="4388DBD8">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kern w:val="0"/>
                      <w:sz w:val="21"/>
                      <w:szCs w:val="21"/>
                    </w:rPr>
                  </w:pPr>
                  <w:r>
                    <w:rPr>
                      <w:rFonts w:hint="default" w:ascii="Times New Roman" w:hAnsi="Times New Roman" w:cs="Times New Roman" w:eastAsiaTheme="minorEastAsia"/>
                      <w:sz w:val="21"/>
                      <w:szCs w:val="21"/>
                    </w:rPr>
                    <w:t>颗粒物</w:t>
                  </w:r>
                </w:p>
              </w:tc>
              <w:tc>
                <w:tcPr>
                  <w:tcW w:w="2189" w:type="dxa"/>
                  <w:noWrap w:val="0"/>
                  <w:vAlign w:val="center"/>
                </w:tcPr>
                <w:p w14:paraId="24A9DBBD">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有组织：10mg/m</w:t>
                  </w:r>
                  <w:r>
                    <w:rPr>
                      <w:rFonts w:hint="default" w:ascii="Times New Roman" w:hAnsi="Times New Roman" w:cs="Times New Roman" w:eastAsiaTheme="minorEastAsia"/>
                      <w:sz w:val="21"/>
                      <w:szCs w:val="21"/>
                      <w:vertAlign w:val="superscript"/>
                    </w:rPr>
                    <w:t>3</w:t>
                  </w:r>
                </w:p>
                <w:p w14:paraId="7FB74292">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无组织：0.5mg/m</w:t>
                  </w:r>
                  <w:r>
                    <w:rPr>
                      <w:rFonts w:hint="default" w:ascii="Times New Roman" w:hAnsi="Times New Roman" w:cs="Times New Roman" w:eastAsiaTheme="minorEastAsia"/>
                      <w:sz w:val="21"/>
                      <w:szCs w:val="21"/>
                      <w:vertAlign w:val="superscript"/>
                    </w:rPr>
                    <w:t>3</w:t>
                  </w:r>
                </w:p>
              </w:tc>
            </w:tr>
            <w:tr w14:paraId="5D09C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7" w:type="dxa"/>
                  <w:vMerge w:val="continue"/>
                  <w:noWrap w:val="0"/>
                  <w:vAlign w:val="center"/>
                </w:tcPr>
                <w:p w14:paraId="45E46547">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p>
              </w:tc>
              <w:tc>
                <w:tcPr>
                  <w:tcW w:w="6750" w:type="dxa"/>
                  <w:gridSpan w:val="5"/>
                  <w:noWrap w:val="0"/>
                  <w:vAlign w:val="center"/>
                </w:tcPr>
                <w:p w14:paraId="7E638047">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color w:val="auto"/>
                      <w:sz w:val="21"/>
                      <w:szCs w:val="21"/>
                    </w:rPr>
                    <w:t>综上，本项目</w:t>
                  </w:r>
                  <w:r>
                    <w:rPr>
                      <w:rFonts w:hint="default" w:ascii="Times New Roman" w:hAnsi="Times New Roman" w:cs="Times New Roman" w:eastAsiaTheme="minorEastAsia"/>
                      <w:b/>
                      <w:bCs/>
                      <w:color w:val="auto"/>
                      <w:sz w:val="21"/>
                      <w:szCs w:val="21"/>
                    </w:rPr>
                    <w:t>颗粒物</w:t>
                  </w:r>
                  <w:r>
                    <w:rPr>
                      <w:rFonts w:hint="default" w:ascii="Times New Roman" w:hAnsi="Times New Roman" w:cs="Times New Roman" w:eastAsiaTheme="minorEastAsia"/>
                      <w:color w:val="auto"/>
                      <w:sz w:val="21"/>
                      <w:szCs w:val="21"/>
                    </w:rPr>
                    <w:t>执行标准为：有组织排放浓度10mg/m</w:t>
                  </w:r>
                  <w:r>
                    <w:rPr>
                      <w:rFonts w:hint="default" w:ascii="Times New Roman" w:hAnsi="Times New Roman" w:cs="Times New Roman" w:eastAsiaTheme="minorEastAsia"/>
                      <w:color w:val="auto"/>
                      <w:sz w:val="21"/>
                      <w:szCs w:val="21"/>
                      <w:vertAlign w:val="superscript"/>
                    </w:rPr>
                    <w:t>3</w:t>
                  </w:r>
                  <w:r>
                    <w:rPr>
                      <w:rFonts w:hint="default" w:ascii="Times New Roman" w:hAnsi="Times New Roman" w:cs="Times New Roman" w:eastAsiaTheme="minorEastAsia"/>
                      <w:color w:val="auto"/>
                      <w:sz w:val="21"/>
                      <w:szCs w:val="21"/>
                    </w:rPr>
                    <w:t>，无组织排放浓度0.5mg/m</w:t>
                  </w:r>
                  <w:r>
                    <w:rPr>
                      <w:rFonts w:hint="default" w:ascii="Times New Roman" w:hAnsi="Times New Roman" w:cs="Times New Roman" w:eastAsiaTheme="minorEastAsia"/>
                      <w:color w:val="auto"/>
                      <w:sz w:val="21"/>
                      <w:szCs w:val="21"/>
                      <w:vertAlign w:val="superscript"/>
                    </w:rPr>
                    <w:t>3</w:t>
                  </w:r>
                  <w:r>
                    <w:rPr>
                      <w:rFonts w:hint="default" w:ascii="Times New Roman" w:hAnsi="Times New Roman" w:cs="Times New Roman" w:eastAsiaTheme="minorEastAsia"/>
                      <w:color w:val="auto"/>
                      <w:sz w:val="21"/>
                      <w:szCs w:val="21"/>
                    </w:rPr>
                    <w:t>；</w:t>
                  </w:r>
                  <w:r>
                    <w:rPr>
                      <w:rFonts w:hint="default" w:ascii="Times New Roman" w:hAnsi="Times New Roman" w:cs="Times New Roman" w:eastAsiaTheme="minorEastAsia"/>
                      <w:b/>
                      <w:bCs/>
                      <w:color w:val="auto"/>
                      <w:sz w:val="21"/>
                      <w:szCs w:val="21"/>
                    </w:rPr>
                    <w:t>非甲烷总烃</w:t>
                  </w:r>
                  <w:r>
                    <w:rPr>
                      <w:rFonts w:hint="default" w:ascii="Times New Roman" w:hAnsi="Times New Roman" w:cs="Times New Roman" w:eastAsiaTheme="minorEastAsia"/>
                      <w:color w:val="auto"/>
                      <w:sz w:val="21"/>
                      <w:szCs w:val="21"/>
                    </w:rPr>
                    <w:t>执行标准为：有组织排放浓度</w:t>
                  </w:r>
                  <w:r>
                    <w:rPr>
                      <w:rFonts w:hint="default" w:ascii="Times New Roman" w:hAnsi="Times New Roman" w:cs="Times New Roman" w:eastAsiaTheme="minorEastAsia"/>
                      <w:color w:val="auto"/>
                      <w:sz w:val="21"/>
                      <w:szCs w:val="21"/>
                      <w:lang w:val="en-US" w:eastAsia="zh-CN"/>
                    </w:rPr>
                    <w:t>8</w:t>
                  </w:r>
                  <w:r>
                    <w:rPr>
                      <w:rFonts w:hint="default" w:ascii="Times New Roman" w:hAnsi="Times New Roman" w:cs="Times New Roman" w:eastAsiaTheme="minorEastAsia"/>
                      <w:color w:val="auto"/>
                      <w:sz w:val="21"/>
                      <w:szCs w:val="21"/>
                    </w:rPr>
                    <w:t>0mg/m</w:t>
                  </w:r>
                  <w:r>
                    <w:rPr>
                      <w:rFonts w:hint="default" w:ascii="Times New Roman" w:hAnsi="Times New Roman" w:cs="Times New Roman" w:eastAsiaTheme="minorEastAsia"/>
                      <w:color w:val="auto"/>
                      <w:sz w:val="21"/>
                      <w:szCs w:val="21"/>
                      <w:vertAlign w:val="superscript"/>
                    </w:rPr>
                    <w:t>3</w:t>
                  </w:r>
                  <w:r>
                    <w:rPr>
                      <w:rFonts w:hint="default" w:ascii="Times New Roman" w:hAnsi="Times New Roman" w:cs="Times New Roman" w:eastAsiaTheme="minorEastAsia"/>
                      <w:color w:val="auto"/>
                      <w:sz w:val="21"/>
                      <w:szCs w:val="21"/>
                    </w:rPr>
                    <w:t>，无组织排放浓度2.0mg/m</w:t>
                  </w:r>
                  <w:r>
                    <w:rPr>
                      <w:rFonts w:hint="default" w:ascii="Times New Roman" w:hAnsi="Times New Roman" w:cs="Times New Roman" w:eastAsiaTheme="minorEastAsia"/>
                      <w:color w:val="auto"/>
                      <w:sz w:val="21"/>
                      <w:szCs w:val="21"/>
                      <w:vertAlign w:val="superscript"/>
                    </w:rPr>
                    <w:t>3</w:t>
                  </w:r>
                </w:p>
              </w:tc>
            </w:tr>
            <w:tr w14:paraId="126F9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7" w:type="dxa"/>
                  <w:vMerge w:val="restart"/>
                  <w:noWrap w:val="0"/>
                  <w:vAlign w:val="center"/>
                </w:tcPr>
                <w:p w14:paraId="553E9E1F">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废水</w:t>
                  </w:r>
                </w:p>
              </w:tc>
              <w:tc>
                <w:tcPr>
                  <w:tcW w:w="874" w:type="dxa"/>
                  <w:vMerge w:val="restart"/>
                  <w:noWrap w:val="0"/>
                  <w:vAlign w:val="center"/>
                </w:tcPr>
                <w:p w14:paraId="1789F572">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GB8978-1996</w:t>
                  </w:r>
                </w:p>
              </w:tc>
              <w:tc>
                <w:tcPr>
                  <w:tcW w:w="1754" w:type="dxa"/>
                  <w:vMerge w:val="restart"/>
                  <w:noWrap w:val="0"/>
                  <w:vAlign w:val="center"/>
                </w:tcPr>
                <w:p w14:paraId="474EB62E">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《污水综合排放标准》</w:t>
                  </w:r>
                </w:p>
              </w:tc>
              <w:tc>
                <w:tcPr>
                  <w:tcW w:w="1081" w:type="dxa"/>
                  <w:vMerge w:val="restart"/>
                  <w:noWrap w:val="0"/>
                  <w:vAlign w:val="center"/>
                </w:tcPr>
                <w:p w14:paraId="206A42E9">
                  <w:pPr>
                    <w:keepNext w:val="0"/>
                    <w:keepLines w:val="0"/>
                    <w:pageBreakBefore w:val="0"/>
                    <w:widowControl/>
                    <w:kinsoku/>
                    <w:wordWrap/>
                    <w:overflowPunct/>
                    <w:topLinePunct w:val="0"/>
                    <w:autoSpaceDE/>
                    <w:autoSpaceDN/>
                    <w:bidi w:val="0"/>
                    <w:adjustRightInd w:val="0"/>
                    <w:snapToGrid w:val="0"/>
                    <w:spacing w:after="0"/>
                    <w:ind w:left="0" w:leftChars="0" w:right="0" w:rightChars="0"/>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表4三级标准</w:t>
                  </w:r>
                </w:p>
              </w:tc>
              <w:tc>
                <w:tcPr>
                  <w:tcW w:w="852" w:type="dxa"/>
                  <w:noWrap w:val="0"/>
                  <w:vAlign w:val="center"/>
                </w:tcPr>
                <w:p w14:paraId="7B44B026">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COD</w:t>
                  </w:r>
                </w:p>
              </w:tc>
              <w:tc>
                <w:tcPr>
                  <w:tcW w:w="2189" w:type="dxa"/>
                  <w:noWrap w:val="0"/>
                  <w:vAlign w:val="center"/>
                </w:tcPr>
                <w:p w14:paraId="246FC84A">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500mg/L</w:t>
                  </w:r>
                </w:p>
              </w:tc>
            </w:tr>
            <w:tr w14:paraId="24124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667" w:type="dxa"/>
                  <w:vMerge w:val="continue"/>
                  <w:noWrap w:val="0"/>
                  <w:vAlign w:val="center"/>
                </w:tcPr>
                <w:p w14:paraId="1591314B">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p>
              </w:tc>
              <w:tc>
                <w:tcPr>
                  <w:tcW w:w="874" w:type="dxa"/>
                  <w:vMerge w:val="continue"/>
                  <w:noWrap w:val="0"/>
                  <w:vAlign w:val="center"/>
                </w:tcPr>
                <w:p w14:paraId="2B6754AD">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p>
              </w:tc>
              <w:tc>
                <w:tcPr>
                  <w:tcW w:w="1754" w:type="dxa"/>
                  <w:vMerge w:val="continue"/>
                  <w:noWrap w:val="0"/>
                  <w:vAlign w:val="center"/>
                </w:tcPr>
                <w:p w14:paraId="522DB556">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p>
              </w:tc>
              <w:tc>
                <w:tcPr>
                  <w:tcW w:w="1081" w:type="dxa"/>
                  <w:vMerge w:val="continue"/>
                  <w:noWrap w:val="0"/>
                  <w:vAlign w:val="center"/>
                </w:tcPr>
                <w:p w14:paraId="3516E1ED">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p>
              </w:tc>
              <w:tc>
                <w:tcPr>
                  <w:tcW w:w="852" w:type="dxa"/>
                  <w:noWrap w:val="0"/>
                  <w:vAlign w:val="center"/>
                </w:tcPr>
                <w:p w14:paraId="1723E659">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BOD</w:t>
                  </w:r>
                  <w:r>
                    <w:rPr>
                      <w:rFonts w:hint="default" w:ascii="Times New Roman" w:hAnsi="Times New Roman" w:cs="Times New Roman" w:eastAsiaTheme="minorEastAsia"/>
                      <w:sz w:val="21"/>
                      <w:szCs w:val="21"/>
                      <w:vertAlign w:val="subscript"/>
                    </w:rPr>
                    <w:t xml:space="preserve"> 5</w:t>
                  </w:r>
                </w:p>
              </w:tc>
              <w:tc>
                <w:tcPr>
                  <w:tcW w:w="2189" w:type="dxa"/>
                  <w:noWrap w:val="0"/>
                  <w:vAlign w:val="center"/>
                </w:tcPr>
                <w:p w14:paraId="6FF8D7CA">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300mg/L</w:t>
                  </w:r>
                </w:p>
              </w:tc>
            </w:tr>
            <w:tr w14:paraId="64BD5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667" w:type="dxa"/>
                  <w:vMerge w:val="continue"/>
                  <w:noWrap w:val="0"/>
                  <w:vAlign w:val="center"/>
                </w:tcPr>
                <w:p w14:paraId="17256E1F">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p>
              </w:tc>
              <w:tc>
                <w:tcPr>
                  <w:tcW w:w="874" w:type="dxa"/>
                  <w:vMerge w:val="continue"/>
                  <w:noWrap w:val="0"/>
                  <w:vAlign w:val="center"/>
                </w:tcPr>
                <w:p w14:paraId="581BD1DA">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p>
              </w:tc>
              <w:tc>
                <w:tcPr>
                  <w:tcW w:w="1754" w:type="dxa"/>
                  <w:vMerge w:val="continue"/>
                  <w:noWrap w:val="0"/>
                  <w:vAlign w:val="center"/>
                </w:tcPr>
                <w:p w14:paraId="656A1C51">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p>
              </w:tc>
              <w:tc>
                <w:tcPr>
                  <w:tcW w:w="1081" w:type="dxa"/>
                  <w:vMerge w:val="continue"/>
                  <w:noWrap w:val="0"/>
                  <w:vAlign w:val="center"/>
                </w:tcPr>
                <w:p w14:paraId="4C9E9D7A">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p>
              </w:tc>
              <w:tc>
                <w:tcPr>
                  <w:tcW w:w="852" w:type="dxa"/>
                  <w:noWrap w:val="0"/>
                  <w:vAlign w:val="center"/>
                </w:tcPr>
                <w:p w14:paraId="6E9E27E8">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NH</w:t>
                  </w:r>
                  <w:r>
                    <w:rPr>
                      <w:rFonts w:hint="default" w:ascii="Times New Roman" w:hAnsi="Times New Roman" w:cs="Times New Roman" w:eastAsiaTheme="minorEastAsia"/>
                      <w:sz w:val="21"/>
                      <w:szCs w:val="21"/>
                      <w:vertAlign w:val="subscript"/>
                    </w:rPr>
                    <w:t>3</w:t>
                  </w:r>
                  <w:r>
                    <w:rPr>
                      <w:rFonts w:hint="default" w:ascii="Times New Roman" w:hAnsi="Times New Roman" w:cs="Times New Roman" w:eastAsiaTheme="minorEastAsia"/>
                      <w:sz w:val="21"/>
                      <w:szCs w:val="21"/>
                    </w:rPr>
                    <w:t>-N</w:t>
                  </w:r>
                </w:p>
              </w:tc>
              <w:tc>
                <w:tcPr>
                  <w:tcW w:w="2189" w:type="dxa"/>
                  <w:noWrap w:val="0"/>
                  <w:vAlign w:val="center"/>
                </w:tcPr>
                <w:p w14:paraId="231AFDA9">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r>
            <w:tr w14:paraId="4DADA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7" w:type="dxa"/>
                  <w:vMerge w:val="continue"/>
                  <w:noWrap w:val="0"/>
                  <w:vAlign w:val="center"/>
                </w:tcPr>
                <w:p w14:paraId="3304C7EB">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p>
              </w:tc>
              <w:tc>
                <w:tcPr>
                  <w:tcW w:w="874" w:type="dxa"/>
                  <w:vMerge w:val="continue"/>
                  <w:noWrap w:val="0"/>
                  <w:vAlign w:val="center"/>
                </w:tcPr>
                <w:p w14:paraId="73AD2D3F">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p>
              </w:tc>
              <w:tc>
                <w:tcPr>
                  <w:tcW w:w="1754" w:type="dxa"/>
                  <w:vMerge w:val="continue"/>
                  <w:noWrap w:val="0"/>
                  <w:vAlign w:val="center"/>
                </w:tcPr>
                <w:p w14:paraId="598E2D52">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p>
              </w:tc>
              <w:tc>
                <w:tcPr>
                  <w:tcW w:w="1081" w:type="dxa"/>
                  <w:vMerge w:val="continue"/>
                  <w:noWrap w:val="0"/>
                  <w:vAlign w:val="center"/>
                </w:tcPr>
                <w:p w14:paraId="3BCC2738">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p>
              </w:tc>
              <w:tc>
                <w:tcPr>
                  <w:tcW w:w="852" w:type="dxa"/>
                  <w:noWrap w:val="0"/>
                  <w:vAlign w:val="center"/>
                </w:tcPr>
                <w:p w14:paraId="246E5282">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rPr>
                    <w:t>SS</w:t>
                  </w:r>
                </w:p>
              </w:tc>
              <w:tc>
                <w:tcPr>
                  <w:tcW w:w="2189" w:type="dxa"/>
                  <w:noWrap w:val="0"/>
                  <w:vAlign w:val="center"/>
                </w:tcPr>
                <w:p w14:paraId="27F8A446">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24"/>
                      <w:sz w:val="21"/>
                      <w:szCs w:val="21"/>
                    </w:rPr>
                    <w:t>400 mg/L</w:t>
                  </w:r>
                </w:p>
              </w:tc>
            </w:tr>
            <w:tr w14:paraId="24C2C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7" w:type="dxa"/>
                  <w:vMerge w:val="continue"/>
                  <w:noWrap w:val="0"/>
                  <w:vAlign w:val="center"/>
                </w:tcPr>
                <w:p w14:paraId="1CDE85DF">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p>
              </w:tc>
              <w:tc>
                <w:tcPr>
                  <w:tcW w:w="874" w:type="dxa"/>
                  <w:vMerge w:val="continue"/>
                  <w:noWrap w:val="0"/>
                  <w:vAlign w:val="center"/>
                </w:tcPr>
                <w:p w14:paraId="6B649371">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p>
              </w:tc>
              <w:tc>
                <w:tcPr>
                  <w:tcW w:w="1754" w:type="dxa"/>
                  <w:vMerge w:val="continue"/>
                  <w:noWrap w:val="0"/>
                  <w:vAlign w:val="center"/>
                </w:tcPr>
                <w:p w14:paraId="6199E164">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p>
              </w:tc>
              <w:tc>
                <w:tcPr>
                  <w:tcW w:w="1081" w:type="dxa"/>
                  <w:vMerge w:val="continue"/>
                  <w:noWrap w:val="0"/>
                  <w:vAlign w:val="center"/>
                </w:tcPr>
                <w:p w14:paraId="53EF2C26">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p>
              </w:tc>
              <w:tc>
                <w:tcPr>
                  <w:tcW w:w="852" w:type="dxa"/>
                  <w:noWrap w:val="0"/>
                  <w:vAlign w:val="center"/>
                </w:tcPr>
                <w:p w14:paraId="6747717E">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rPr>
                    <w:t>总氮</w:t>
                  </w:r>
                </w:p>
              </w:tc>
              <w:tc>
                <w:tcPr>
                  <w:tcW w:w="2189" w:type="dxa"/>
                  <w:noWrap w:val="0"/>
                  <w:vAlign w:val="center"/>
                </w:tcPr>
                <w:p w14:paraId="55C3E263">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24"/>
                      <w:sz w:val="21"/>
                      <w:szCs w:val="21"/>
                    </w:rPr>
                    <w:t>/</w:t>
                  </w:r>
                </w:p>
              </w:tc>
            </w:tr>
            <w:tr w14:paraId="233ED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7" w:type="dxa"/>
                  <w:vMerge w:val="continue"/>
                  <w:noWrap w:val="0"/>
                  <w:vAlign w:val="center"/>
                </w:tcPr>
                <w:p w14:paraId="37FF6C05">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p>
              </w:tc>
              <w:tc>
                <w:tcPr>
                  <w:tcW w:w="874" w:type="dxa"/>
                  <w:vMerge w:val="continue"/>
                  <w:noWrap w:val="0"/>
                  <w:vAlign w:val="center"/>
                </w:tcPr>
                <w:p w14:paraId="73EA390C">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p>
              </w:tc>
              <w:tc>
                <w:tcPr>
                  <w:tcW w:w="1754" w:type="dxa"/>
                  <w:vMerge w:val="continue"/>
                  <w:noWrap w:val="0"/>
                  <w:vAlign w:val="center"/>
                </w:tcPr>
                <w:p w14:paraId="6A34DD97">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p>
              </w:tc>
              <w:tc>
                <w:tcPr>
                  <w:tcW w:w="1081" w:type="dxa"/>
                  <w:vMerge w:val="continue"/>
                  <w:noWrap w:val="0"/>
                  <w:vAlign w:val="center"/>
                </w:tcPr>
                <w:p w14:paraId="4013E533">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p>
              </w:tc>
              <w:tc>
                <w:tcPr>
                  <w:tcW w:w="852" w:type="dxa"/>
                  <w:noWrap w:val="0"/>
                  <w:vAlign w:val="center"/>
                </w:tcPr>
                <w:p w14:paraId="7F8D7890">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rPr>
                    <w:t>总磷</w:t>
                  </w:r>
                </w:p>
              </w:tc>
              <w:tc>
                <w:tcPr>
                  <w:tcW w:w="2189" w:type="dxa"/>
                  <w:noWrap w:val="0"/>
                  <w:vAlign w:val="center"/>
                </w:tcPr>
                <w:p w14:paraId="45ABB0C4">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24"/>
                      <w:sz w:val="21"/>
                      <w:szCs w:val="21"/>
                    </w:rPr>
                    <w:t>/</w:t>
                  </w:r>
                </w:p>
              </w:tc>
            </w:tr>
            <w:tr w14:paraId="45BC4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7" w:type="dxa"/>
                  <w:vMerge w:val="continue"/>
                  <w:noWrap w:val="0"/>
                  <w:vAlign w:val="center"/>
                </w:tcPr>
                <w:p w14:paraId="7929A3E1">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p>
              </w:tc>
              <w:tc>
                <w:tcPr>
                  <w:tcW w:w="6750" w:type="dxa"/>
                  <w:gridSpan w:val="5"/>
                  <w:noWrap w:val="0"/>
                  <w:vAlign w:val="center"/>
                </w:tcPr>
                <w:p w14:paraId="05266921">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长垣市第二污水处理厂收水标准：（COD≤320mg/L，NH</w:t>
                  </w:r>
                  <w:r>
                    <w:rPr>
                      <w:rFonts w:hint="default" w:ascii="Times New Roman" w:hAnsi="Times New Roman" w:cs="Times New Roman" w:eastAsiaTheme="minorEastAsia"/>
                      <w:sz w:val="21"/>
                      <w:szCs w:val="21"/>
                      <w:vertAlign w:val="subscript"/>
                    </w:rPr>
                    <w:t>3</w:t>
                  </w:r>
                  <w:r>
                    <w:rPr>
                      <w:rFonts w:hint="default" w:ascii="Times New Roman" w:hAnsi="Times New Roman" w:cs="Times New Roman" w:eastAsiaTheme="minorEastAsia"/>
                      <w:sz w:val="21"/>
                      <w:szCs w:val="21"/>
                    </w:rPr>
                    <w:t>-N≤30 mg/L</w:t>
                  </w:r>
                  <w:r>
                    <w:rPr>
                      <w:rFonts w:hint="default" w:ascii="Times New Roman" w:hAnsi="Times New Roman" w:cs="Times New Roman" w:eastAsiaTheme="minorEastAsia"/>
                      <w:sz w:val="21"/>
                      <w:szCs w:val="21"/>
                      <w:lang w:val="zh-CN"/>
                    </w:rPr>
                    <w:t>、</w:t>
                  </w:r>
                  <w:r>
                    <w:rPr>
                      <w:rFonts w:hint="default" w:ascii="Times New Roman" w:hAnsi="Times New Roman" w:cs="Times New Roman" w:eastAsiaTheme="minorEastAsia"/>
                      <w:sz w:val="21"/>
                      <w:szCs w:val="21"/>
                    </w:rPr>
                    <w:t>BOD</w:t>
                  </w:r>
                  <w:r>
                    <w:rPr>
                      <w:rFonts w:hint="default" w:ascii="Times New Roman" w:hAnsi="Times New Roman" w:cs="Times New Roman" w:eastAsiaTheme="minorEastAsia"/>
                      <w:sz w:val="21"/>
                      <w:szCs w:val="21"/>
                      <w:vertAlign w:val="subscript"/>
                    </w:rPr>
                    <w:t>5</w:t>
                  </w:r>
                  <w:r>
                    <w:rPr>
                      <w:rFonts w:hint="default" w:ascii="Times New Roman" w:hAnsi="Times New Roman" w:cs="Times New Roman" w:eastAsiaTheme="minorEastAsia"/>
                      <w:sz w:val="21"/>
                      <w:szCs w:val="21"/>
                    </w:rPr>
                    <w:t>≤145mg/L、SS≤200mg/L，TN≤36mg/L，TP≤3mg/L）</w:t>
                  </w:r>
                </w:p>
              </w:tc>
            </w:tr>
            <w:tr w14:paraId="639C6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7" w:type="dxa"/>
                  <w:noWrap w:val="0"/>
                  <w:vAlign w:val="center"/>
                </w:tcPr>
                <w:p w14:paraId="228B5C10">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噪声</w:t>
                  </w:r>
                </w:p>
              </w:tc>
              <w:tc>
                <w:tcPr>
                  <w:tcW w:w="874" w:type="dxa"/>
                  <w:noWrap w:val="0"/>
                  <w:vAlign w:val="center"/>
                </w:tcPr>
                <w:p w14:paraId="357B248C">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GB12348-</w:t>
                  </w:r>
                </w:p>
                <w:p w14:paraId="411C4A42">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2008</w:t>
                  </w:r>
                </w:p>
              </w:tc>
              <w:tc>
                <w:tcPr>
                  <w:tcW w:w="1754" w:type="dxa"/>
                  <w:noWrap w:val="0"/>
                  <w:vAlign w:val="center"/>
                </w:tcPr>
                <w:p w14:paraId="2B16152D">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《工业企业厂界环境噪声排放标准》</w:t>
                  </w:r>
                </w:p>
              </w:tc>
              <w:tc>
                <w:tcPr>
                  <w:tcW w:w="1081" w:type="dxa"/>
                  <w:noWrap w:val="0"/>
                  <w:vAlign w:val="center"/>
                </w:tcPr>
                <w:p w14:paraId="69A31D63">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2类</w:t>
                  </w:r>
                </w:p>
              </w:tc>
              <w:tc>
                <w:tcPr>
                  <w:tcW w:w="852" w:type="dxa"/>
                  <w:noWrap w:val="0"/>
                  <w:vAlign w:val="center"/>
                </w:tcPr>
                <w:p w14:paraId="42FAAFBB">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等效连续A声级</w:t>
                  </w:r>
                </w:p>
              </w:tc>
              <w:tc>
                <w:tcPr>
                  <w:tcW w:w="2189" w:type="dxa"/>
                  <w:noWrap w:val="0"/>
                  <w:vAlign w:val="center"/>
                </w:tcPr>
                <w:p w14:paraId="6C2FAE10">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昼间≤60dB（A）</w:t>
                  </w:r>
                </w:p>
                <w:p w14:paraId="72C0ACE3">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夜间≤50dB（A）</w:t>
                  </w:r>
                </w:p>
              </w:tc>
            </w:tr>
            <w:tr w14:paraId="4502A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7" w:type="dxa"/>
                  <w:noWrap w:val="0"/>
                  <w:vAlign w:val="center"/>
                </w:tcPr>
                <w:p w14:paraId="1703A9B1">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一般固体废物</w:t>
                  </w:r>
                </w:p>
              </w:tc>
              <w:tc>
                <w:tcPr>
                  <w:tcW w:w="874" w:type="dxa"/>
                  <w:noWrap w:val="0"/>
                  <w:vAlign w:val="center"/>
                </w:tcPr>
                <w:p w14:paraId="4FFF9DA3">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bCs/>
                      <w:sz w:val="21"/>
                      <w:szCs w:val="21"/>
                    </w:rPr>
                  </w:pPr>
                  <w:r>
                    <w:rPr>
                      <w:rFonts w:hint="default" w:ascii="Times New Roman" w:hAnsi="Times New Roman" w:cs="Times New Roman" w:eastAsiaTheme="minorEastAsia"/>
                      <w:bCs/>
                      <w:sz w:val="21"/>
                      <w:szCs w:val="21"/>
                    </w:rPr>
                    <w:t>GB18599</w:t>
                  </w:r>
                </w:p>
                <w:p w14:paraId="08B9B8E4">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Cs/>
                      <w:sz w:val="21"/>
                      <w:szCs w:val="21"/>
                    </w:rPr>
                    <w:t>-2020</w:t>
                  </w:r>
                </w:p>
              </w:tc>
              <w:tc>
                <w:tcPr>
                  <w:tcW w:w="1754" w:type="dxa"/>
                  <w:noWrap w:val="0"/>
                  <w:vAlign w:val="center"/>
                </w:tcPr>
                <w:p w14:paraId="3F29B810">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bCs/>
                      <w:sz w:val="21"/>
                      <w:szCs w:val="21"/>
                    </w:rPr>
                    <w:t>《一般工业固体废物贮存和填埋污染控制标准》</w:t>
                  </w:r>
                </w:p>
              </w:tc>
              <w:tc>
                <w:tcPr>
                  <w:tcW w:w="1081" w:type="dxa"/>
                  <w:noWrap w:val="0"/>
                  <w:vAlign w:val="center"/>
                </w:tcPr>
                <w:p w14:paraId="1243AC9D">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c>
                <w:tcPr>
                  <w:tcW w:w="852" w:type="dxa"/>
                  <w:noWrap w:val="0"/>
                  <w:vAlign w:val="center"/>
                </w:tcPr>
                <w:p w14:paraId="5F64E3EE">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c>
                <w:tcPr>
                  <w:tcW w:w="2189" w:type="dxa"/>
                  <w:noWrap w:val="0"/>
                  <w:vAlign w:val="center"/>
                </w:tcPr>
                <w:p w14:paraId="6C93BBC1">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r>
            <w:tr w14:paraId="54BF9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7" w:type="dxa"/>
                  <w:noWrap w:val="0"/>
                  <w:vAlign w:val="center"/>
                </w:tcPr>
                <w:p w14:paraId="45707F66">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危险废物</w:t>
                  </w:r>
                </w:p>
              </w:tc>
              <w:tc>
                <w:tcPr>
                  <w:tcW w:w="874" w:type="dxa"/>
                  <w:noWrap w:val="0"/>
                  <w:vAlign w:val="center"/>
                </w:tcPr>
                <w:p w14:paraId="1BEEA658">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GB18597-</w:t>
                  </w:r>
                </w:p>
                <w:p w14:paraId="6C915BFA">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20</w:t>
                  </w:r>
                  <w:r>
                    <w:rPr>
                      <w:rFonts w:hint="eastAsia" w:ascii="Times New Roman" w:hAnsi="Times New Roman" w:cs="Times New Roman" w:eastAsiaTheme="minorEastAsia"/>
                      <w:sz w:val="21"/>
                      <w:szCs w:val="21"/>
                      <w:lang w:val="en-US" w:eastAsia="zh-CN"/>
                    </w:rPr>
                    <w:t>23</w:t>
                  </w:r>
                </w:p>
              </w:tc>
              <w:tc>
                <w:tcPr>
                  <w:tcW w:w="1754" w:type="dxa"/>
                  <w:noWrap w:val="0"/>
                  <w:vAlign w:val="center"/>
                </w:tcPr>
                <w:p w14:paraId="585E8F19">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《危险废物贮存污染控制标准》</w:t>
                  </w:r>
                </w:p>
              </w:tc>
              <w:tc>
                <w:tcPr>
                  <w:tcW w:w="1081" w:type="dxa"/>
                  <w:noWrap w:val="0"/>
                  <w:vAlign w:val="center"/>
                </w:tcPr>
                <w:p w14:paraId="5C4A25EB">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c>
                <w:tcPr>
                  <w:tcW w:w="852" w:type="dxa"/>
                  <w:noWrap w:val="0"/>
                  <w:vAlign w:val="center"/>
                </w:tcPr>
                <w:p w14:paraId="05D253AD">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c>
                <w:tcPr>
                  <w:tcW w:w="2189" w:type="dxa"/>
                  <w:noWrap w:val="0"/>
                  <w:vAlign w:val="center"/>
                </w:tcPr>
                <w:p w14:paraId="3E8DF6EF">
                  <w:pPr>
                    <w:keepNext w:val="0"/>
                    <w:keepLines w:val="0"/>
                    <w:pageBreakBefore w:val="0"/>
                    <w:widowControl/>
                    <w:kinsoku/>
                    <w:wordWrap/>
                    <w:overflowPunct/>
                    <w:topLinePunct w:val="0"/>
                    <w:autoSpaceDE/>
                    <w:autoSpaceDN/>
                    <w:bidi w:val="0"/>
                    <w:adjustRightInd w:val="0"/>
                    <w:snapToGrid w:val="0"/>
                    <w:spacing w:after="0"/>
                    <w:ind w:left="0" w:leftChars="0" w:right="0" w:right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t>
                  </w:r>
                </w:p>
              </w:tc>
            </w:tr>
          </w:tbl>
          <w:p w14:paraId="34A70718">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ind w:leftChars="0" w:firstLine="480" w:firstLineChars="200"/>
              <w:jc w:val="left"/>
              <w:textAlignment w:val="auto"/>
              <w:outlineLvl w:val="9"/>
              <w:rPr>
                <w:rFonts w:hint="default" w:ascii="Times New Roman" w:hAnsi="Times New Roman" w:eastAsia="宋体" w:cs="Times New Roman"/>
                <w:color w:val="FF0000"/>
                <w:sz w:val="24"/>
                <w:szCs w:val="24"/>
                <w:lang w:val="en-US" w:eastAsia="zh-CN"/>
              </w:rPr>
            </w:pPr>
          </w:p>
        </w:tc>
      </w:tr>
    </w:tbl>
    <w:p w14:paraId="187A7E31">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eastAsiaTheme="minorEastAsia"/>
          <w:lang w:val="en-US" w:eastAsia="zh-CN"/>
        </w:rPr>
      </w:pPr>
      <w:r>
        <w:rPr>
          <w:rFonts w:hint="default" w:ascii="Times New Roman" w:hAnsi="Times New Roman" w:cs="Times New Roman" w:eastAsiaTheme="minorEastAsia"/>
          <w:b/>
          <w:color w:val="auto"/>
          <w:sz w:val="32"/>
          <w:szCs w:val="32"/>
        </w:rPr>
        <w:t>表</w:t>
      </w:r>
      <w:r>
        <w:rPr>
          <w:rFonts w:hint="eastAsia" w:ascii="Times New Roman" w:hAnsi="Times New Roman" w:cs="Times New Roman" w:eastAsiaTheme="minorEastAsia"/>
          <w:b/>
          <w:color w:val="auto"/>
          <w:sz w:val="32"/>
          <w:szCs w:val="32"/>
          <w:lang w:val="en-US" w:eastAsia="zh-CN"/>
        </w:rPr>
        <w:t>二</w:t>
      </w:r>
    </w:p>
    <w:tbl>
      <w:tblPr>
        <w:tblStyle w:val="17"/>
        <w:tblW w:w="92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14:paraId="5AAFAF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33" w:hRule="atLeast"/>
          <w:jc w:val="center"/>
        </w:trPr>
        <w:tc>
          <w:tcPr>
            <w:tcW w:w="9288" w:type="dxa"/>
            <w:vAlign w:val="top"/>
          </w:tcPr>
          <w:p w14:paraId="14D69F26">
            <w:pPr>
              <w:keepNext w:val="0"/>
              <w:keepLines w:val="0"/>
              <w:pageBreakBefore w:val="0"/>
              <w:widowControl/>
              <w:kinsoku/>
              <w:wordWrap/>
              <w:overflowPunct/>
              <w:topLinePunct w:val="0"/>
              <w:autoSpaceDE/>
              <w:autoSpaceDN/>
              <w:bidi w:val="0"/>
              <w:adjustRightInd/>
              <w:snapToGrid/>
              <w:spacing w:after="0" w:afterLines="0" w:line="520" w:lineRule="exact"/>
              <w:textAlignment w:val="auto"/>
              <w:outlineLvl w:val="9"/>
              <w:rPr>
                <w:rFonts w:hint="eastAsia"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工程建设内容</w:t>
            </w:r>
            <w:r>
              <w:rPr>
                <w:rFonts w:hint="eastAsia" w:ascii="Times New Roman" w:hAnsi="Times New Roman" w:eastAsia="宋体" w:cs="Times New Roman"/>
                <w:b/>
                <w:bCs/>
                <w:color w:val="000000" w:themeColor="text1"/>
                <w:sz w:val="24"/>
                <w:szCs w:val="24"/>
                <w:lang w:eastAsia="zh-CN"/>
                <w14:textFill>
                  <w14:solidFill>
                    <w14:schemeClr w14:val="tx1"/>
                  </w14:solidFill>
                </w14:textFill>
              </w:rPr>
              <w:t>：</w:t>
            </w:r>
          </w:p>
          <w:p w14:paraId="193F0B68">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2   </w:t>
            </w:r>
            <w:r>
              <w:rPr>
                <w:rFonts w:hint="default" w:ascii="Times New Roman" w:hAnsi="Times New Roman" w:cs="Times New Roman" w:eastAsiaTheme="minorEastAsia"/>
                <w:b/>
                <w:bCs/>
                <w:color w:val="auto"/>
                <w:kern w:val="2"/>
                <w:sz w:val="24"/>
                <w:szCs w:val="24"/>
                <w:lang w:val="en-US" w:eastAsia="zh-CN" w:bidi="ar-SA"/>
              </w:rPr>
              <w:t>本项目</w:t>
            </w:r>
            <w:r>
              <w:rPr>
                <w:rFonts w:hint="eastAsia" w:ascii="Times New Roman" w:hAnsi="Times New Roman" w:cs="Times New Roman" w:eastAsiaTheme="minorEastAsia"/>
                <w:b/>
                <w:bCs/>
                <w:color w:val="auto"/>
                <w:kern w:val="2"/>
                <w:sz w:val="24"/>
                <w:szCs w:val="24"/>
                <w:lang w:val="en-US" w:eastAsia="zh-CN" w:bidi="ar-SA"/>
              </w:rPr>
              <w:t>一期</w:t>
            </w:r>
            <w:r>
              <w:rPr>
                <w:rFonts w:hint="default" w:ascii="Times New Roman" w:hAnsi="Times New Roman" w:cs="Times New Roman" w:eastAsiaTheme="minorEastAsia"/>
                <w:b/>
                <w:bCs/>
                <w:color w:val="auto"/>
                <w:kern w:val="2"/>
                <w:sz w:val="24"/>
                <w:szCs w:val="24"/>
                <w:lang w:val="en-US" w:eastAsia="zh-CN" w:bidi="ar-SA"/>
              </w:rPr>
              <w:t>基本情况表</w:t>
            </w:r>
          </w:p>
          <w:tbl>
            <w:tblPr>
              <w:tblStyle w:val="17"/>
              <w:tblW w:w="9057"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185"/>
              <w:gridCol w:w="2309"/>
              <w:gridCol w:w="5563"/>
            </w:tblGrid>
            <w:tr w14:paraId="27B849C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66" w:hRule="atLeast"/>
                <w:jc w:val="center"/>
              </w:trPr>
              <w:tc>
                <w:tcPr>
                  <w:tcW w:w="1185" w:type="dxa"/>
                  <w:tcBorders>
                    <w:tl2br w:val="nil"/>
                    <w:tr2bl w:val="nil"/>
                  </w:tcBorders>
                  <w:vAlign w:val="center"/>
                </w:tcPr>
                <w:p w14:paraId="6D4C7BB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序号</w:t>
                  </w:r>
                </w:p>
              </w:tc>
              <w:tc>
                <w:tcPr>
                  <w:tcW w:w="2309" w:type="dxa"/>
                  <w:tcBorders>
                    <w:tl2br w:val="nil"/>
                    <w:tr2bl w:val="nil"/>
                  </w:tcBorders>
                  <w:vAlign w:val="center"/>
                </w:tcPr>
                <w:p w14:paraId="50CDBD5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名称</w:t>
                  </w:r>
                </w:p>
              </w:tc>
              <w:tc>
                <w:tcPr>
                  <w:tcW w:w="5563" w:type="dxa"/>
                  <w:tcBorders>
                    <w:tl2br w:val="nil"/>
                    <w:tr2bl w:val="nil"/>
                  </w:tcBorders>
                  <w:vAlign w:val="center"/>
                </w:tcPr>
                <w:p w14:paraId="5801F1A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内容</w:t>
                  </w:r>
                </w:p>
              </w:tc>
            </w:tr>
            <w:tr w14:paraId="4BEC675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185" w:type="dxa"/>
                  <w:tcBorders>
                    <w:tl2br w:val="nil"/>
                    <w:tr2bl w:val="nil"/>
                  </w:tcBorders>
                  <w:vAlign w:val="center"/>
                </w:tcPr>
                <w:p w14:paraId="12DEC93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1</w:t>
                  </w:r>
                </w:p>
              </w:tc>
              <w:tc>
                <w:tcPr>
                  <w:tcW w:w="2309" w:type="dxa"/>
                  <w:tcBorders>
                    <w:tl2br w:val="nil"/>
                    <w:tr2bl w:val="nil"/>
                  </w:tcBorders>
                  <w:vAlign w:val="center"/>
                </w:tcPr>
                <w:p w14:paraId="1005AA5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建设单位</w:t>
                  </w:r>
                </w:p>
              </w:tc>
              <w:tc>
                <w:tcPr>
                  <w:tcW w:w="5563" w:type="dxa"/>
                  <w:tcBorders>
                    <w:tl2br w:val="nil"/>
                    <w:tr2bl w:val="nil"/>
                  </w:tcBorders>
                  <w:vAlign w:val="center"/>
                </w:tcPr>
                <w:p w14:paraId="49FF46F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新乡市科博特起重机械有限公司</w:t>
                  </w:r>
                </w:p>
              </w:tc>
            </w:tr>
            <w:tr w14:paraId="56A0E67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185" w:type="dxa"/>
                  <w:tcBorders>
                    <w:tl2br w:val="nil"/>
                    <w:tr2bl w:val="nil"/>
                  </w:tcBorders>
                  <w:vAlign w:val="center"/>
                </w:tcPr>
                <w:p w14:paraId="020EC81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2</w:t>
                  </w:r>
                </w:p>
              </w:tc>
              <w:tc>
                <w:tcPr>
                  <w:tcW w:w="2309" w:type="dxa"/>
                  <w:tcBorders>
                    <w:tl2br w:val="nil"/>
                    <w:tr2bl w:val="nil"/>
                  </w:tcBorders>
                  <w:vAlign w:val="center"/>
                </w:tcPr>
                <w:p w14:paraId="6495D7C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工程名称</w:t>
                  </w:r>
                </w:p>
              </w:tc>
              <w:tc>
                <w:tcPr>
                  <w:tcW w:w="5563" w:type="dxa"/>
                  <w:tcBorders>
                    <w:tl2br w:val="nil"/>
                    <w:tr2bl w:val="nil"/>
                  </w:tcBorders>
                  <w:vAlign w:val="center"/>
                </w:tcPr>
                <w:p w14:paraId="23DA591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年产1.2万吨道轨交通配件项目（一期）</w:t>
                  </w:r>
                </w:p>
              </w:tc>
            </w:tr>
            <w:tr w14:paraId="28F6828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185" w:type="dxa"/>
                  <w:tcBorders>
                    <w:tl2br w:val="nil"/>
                    <w:tr2bl w:val="nil"/>
                  </w:tcBorders>
                  <w:vAlign w:val="center"/>
                </w:tcPr>
                <w:p w14:paraId="3ED0103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3</w:t>
                  </w:r>
                </w:p>
              </w:tc>
              <w:tc>
                <w:tcPr>
                  <w:tcW w:w="2309" w:type="dxa"/>
                  <w:tcBorders>
                    <w:tl2br w:val="nil"/>
                    <w:tr2bl w:val="nil"/>
                  </w:tcBorders>
                  <w:vAlign w:val="center"/>
                </w:tcPr>
                <w:p w14:paraId="1926043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建设项目</w:t>
                  </w:r>
                </w:p>
              </w:tc>
              <w:tc>
                <w:tcPr>
                  <w:tcW w:w="5563" w:type="dxa"/>
                  <w:tcBorders>
                    <w:tl2br w:val="nil"/>
                    <w:tr2bl w:val="nil"/>
                  </w:tcBorders>
                  <w:vAlign w:val="center"/>
                </w:tcPr>
                <w:p w14:paraId="6B24317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扩建</w:t>
                  </w:r>
                </w:p>
              </w:tc>
            </w:tr>
            <w:tr w14:paraId="6941032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185" w:type="dxa"/>
                  <w:tcBorders>
                    <w:tl2br w:val="nil"/>
                    <w:tr2bl w:val="nil"/>
                  </w:tcBorders>
                  <w:vAlign w:val="center"/>
                </w:tcPr>
                <w:p w14:paraId="1121292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4</w:t>
                  </w:r>
                </w:p>
              </w:tc>
              <w:tc>
                <w:tcPr>
                  <w:tcW w:w="2309" w:type="dxa"/>
                  <w:tcBorders>
                    <w:tl2br w:val="nil"/>
                    <w:tr2bl w:val="nil"/>
                  </w:tcBorders>
                  <w:vAlign w:val="center"/>
                </w:tcPr>
                <w:p w14:paraId="0A6F1EE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建设地点</w:t>
                  </w:r>
                </w:p>
              </w:tc>
              <w:tc>
                <w:tcPr>
                  <w:tcW w:w="5563" w:type="dxa"/>
                  <w:tcBorders>
                    <w:tl2br w:val="nil"/>
                    <w:tr2bl w:val="nil"/>
                  </w:tcBorders>
                  <w:vAlign w:val="center"/>
                </w:tcPr>
                <w:p w14:paraId="3EF98D7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长垣市魏庄镇华豫大道中段88号</w:t>
                  </w:r>
                </w:p>
              </w:tc>
            </w:tr>
            <w:tr w14:paraId="192B3D6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185" w:type="dxa"/>
                  <w:tcBorders>
                    <w:tl2br w:val="nil"/>
                    <w:tr2bl w:val="nil"/>
                  </w:tcBorders>
                  <w:vAlign w:val="center"/>
                </w:tcPr>
                <w:p w14:paraId="6016169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5</w:t>
                  </w:r>
                </w:p>
              </w:tc>
              <w:tc>
                <w:tcPr>
                  <w:tcW w:w="2309" w:type="dxa"/>
                  <w:tcBorders>
                    <w:tl2br w:val="nil"/>
                    <w:tr2bl w:val="nil"/>
                  </w:tcBorders>
                  <w:vAlign w:val="center"/>
                </w:tcPr>
                <w:p w14:paraId="146B961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占地面积</w:t>
                  </w:r>
                </w:p>
              </w:tc>
              <w:tc>
                <w:tcPr>
                  <w:tcW w:w="5563" w:type="dxa"/>
                  <w:tcBorders>
                    <w:tl2br w:val="nil"/>
                    <w:tr2bl w:val="nil"/>
                  </w:tcBorders>
                  <w:vAlign w:val="center"/>
                </w:tcPr>
                <w:p w14:paraId="4D98103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1500m</w:t>
                  </w:r>
                  <w:r>
                    <w:rPr>
                      <w:rFonts w:hint="eastAsia" w:ascii="Times New Roman" w:hAnsi="Times New Roman" w:cs="Times New Roman" w:eastAsiaTheme="minorEastAsia"/>
                      <w:sz w:val="21"/>
                      <w:szCs w:val="21"/>
                      <w:vertAlign w:val="superscript"/>
                      <w:lang w:val="en-US" w:eastAsia="zh-CN"/>
                    </w:rPr>
                    <w:t>2</w:t>
                  </w:r>
                </w:p>
              </w:tc>
            </w:tr>
            <w:tr w14:paraId="4CBB875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185" w:type="dxa"/>
                  <w:tcBorders>
                    <w:tl2br w:val="nil"/>
                    <w:tr2bl w:val="nil"/>
                  </w:tcBorders>
                  <w:vAlign w:val="center"/>
                </w:tcPr>
                <w:p w14:paraId="6EE9467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6</w:t>
                  </w:r>
                </w:p>
              </w:tc>
              <w:tc>
                <w:tcPr>
                  <w:tcW w:w="2309" w:type="dxa"/>
                  <w:tcBorders>
                    <w:tl2br w:val="nil"/>
                    <w:tr2bl w:val="nil"/>
                  </w:tcBorders>
                  <w:vAlign w:val="center"/>
                </w:tcPr>
                <w:p w14:paraId="4A849CF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总投资</w:t>
                  </w:r>
                </w:p>
              </w:tc>
              <w:tc>
                <w:tcPr>
                  <w:tcW w:w="5563" w:type="dxa"/>
                  <w:tcBorders>
                    <w:tl2br w:val="nil"/>
                    <w:tr2bl w:val="nil"/>
                  </w:tcBorders>
                  <w:vAlign w:val="center"/>
                </w:tcPr>
                <w:p w14:paraId="567F214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w:t>
                  </w:r>
                  <w:r>
                    <w:rPr>
                      <w:rFonts w:hint="default" w:ascii="Times New Roman" w:hAnsi="Times New Roman" w:cs="Times New Roman" w:eastAsiaTheme="minorEastAsia"/>
                      <w:sz w:val="21"/>
                      <w:szCs w:val="21"/>
                      <w:lang w:val="en-US" w:eastAsia="zh-CN"/>
                    </w:rPr>
                    <w:t>00万元</w:t>
                  </w:r>
                </w:p>
              </w:tc>
            </w:tr>
            <w:tr w14:paraId="2EA36F7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185" w:type="dxa"/>
                  <w:tcBorders>
                    <w:tl2br w:val="nil"/>
                    <w:tr2bl w:val="nil"/>
                  </w:tcBorders>
                  <w:vAlign w:val="center"/>
                </w:tcPr>
                <w:p w14:paraId="280BEF1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7</w:t>
                  </w:r>
                </w:p>
              </w:tc>
              <w:tc>
                <w:tcPr>
                  <w:tcW w:w="2309" w:type="dxa"/>
                  <w:tcBorders>
                    <w:tl2br w:val="nil"/>
                    <w:tr2bl w:val="nil"/>
                  </w:tcBorders>
                  <w:vAlign w:val="center"/>
                </w:tcPr>
                <w:p w14:paraId="3C10D2A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劳动定员</w:t>
                  </w:r>
                </w:p>
              </w:tc>
              <w:tc>
                <w:tcPr>
                  <w:tcW w:w="5563" w:type="dxa"/>
                  <w:tcBorders>
                    <w:tl2br w:val="nil"/>
                    <w:tr2bl w:val="nil"/>
                  </w:tcBorders>
                  <w:vAlign w:val="center"/>
                </w:tcPr>
                <w:p w14:paraId="7C03BCA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30</w:t>
                  </w:r>
                  <w:r>
                    <w:rPr>
                      <w:rFonts w:hint="default" w:ascii="Times New Roman" w:hAnsi="Times New Roman" w:cs="Times New Roman" w:eastAsiaTheme="minorEastAsia"/>
                      <w:sz w:val="21"/>
                      <w:szCs w:val="21"/>
                      <w:lang w:val="en-US" w:eastAsia="zh-CN"/>
                    </w:rPr>
                    <w:t>人</w:t>
                  </w:r>
                </w:p>
              </w:tc>
            </w:tr>
            <w:tr w14:paraId="72C718A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185" w:type="dxa"/>
                  <w:tcBorders>
                    <w:tl2br w:val="nil"/>
                    <w:tr2bl w:val="nil"/>
                  </w:tcBorders>
                  <w:vAlign w:val="center"/>
                </w:tcPr>
                <w:p w14:paraId="727D3FE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w:t>
                  </w:r>
                </w:p>
              </w:tc>
              <w:tc>
                <w:tcPr>
                  <w:tcW w:w="2309" w:type="dxa"/>
                  <w:tcBorders>
                    <w:tl2br w:val="nil"/>
                    <w:tr2bl w:val="nil"/>
                  </w:tcBorders>
                  <w:vAlign w:val="center"/>
                </w:tcPr>
                <w:p w14:paraId="385872E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工作制度</w:t>
                  </w:r>
                </w:p>
              </w:tc>
              <w:tc>
                <w:tcPr>
                  <w:tcW w:w="5563" w:type="dxa"/>
                  <w:tcBorders>
                    <w:tl2br w:val="nil"/>
                    <w:tr2bl w:val="nil"/>
                  </w:tcBorders>
                  <w:vAlign w:val="center"/>
                </w:tcPr>
                <w:p w14:paraId="554E7FE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r>
                    <w:rPr>
                      <w:rFonts w:hint="default" w:ascii="Times New Roman" w:hAnsi="Times New Roman" w:cs="Times New Roman" w:eastAsiaTheme="minorEastAsia"/>
                      <w:sz w:val="21"/>
                      <w:szCs w:val="21"/>
                      <w:lang w:val="en-US" w:eastAsia="zh-CN"/>
                    </w:rPr>
                    <w:t>班生产，每班</w:t>
                  </w:r>
                  <w:r>
                    <w:rPr>
                      <w:rFonts w:hint="eastAsia" w:ascii="Times New Roman" w:hAnsi="Times New Roman" w:cs="Times New Roman" w:eastAsiaTheme="minorEastAsia"/>
                      <w:sz w:val="21"/>
                      <w:szCs w:val="21"/>
                      <w:lang w:val="en-US" w:eastAsia="zh-CN"/>
                    </w:rPr>
                    <w:t>8</w:t>
                  </w:r>
                  <w:r>
                    <w:rPr>
                      <w:rFonts w:hint="default" w:ascii="Times New Roman" w:hAnsi="Times New Roman" w:cs="Times New Roman" w:eastAsiaTheme="minorEastAsia"/>
                      <w:sz w:val="21"/>
                      <w:szCs w:val="21"/>
                      <w:lang w:val="en-US" w:eastAsia="zh-CN"/>
                    </w:rPr>
                    <w:t>小时，年工作</w:t>
                  </w:r>
                  <w:r>
                    <w:rPr>
                      <w:rFonts w:hint="eastAsia" w:ascii="Times New Roman" w:hAnsi="Times New Roman" w:cs="Times New Roman" w:eastAsiaTheme="minorEastAsia"/>
                      <w:sz w:val="21"/>
                      <w:szCs w:val="21"/>
                      <w:lang w:val="en-US" w:eastAsia="zh-CN"/>
                    </w:rPr>
                    <w:t>250</w:t>
                  </w:r>
                  <w:r>
                    <w:rPr>
                      <w:rFonts w:hint="default" w:ascii="Times New Roman" w:hAnsi="Times New Roman" w:cs="Times New Roman" w:eastAsiaTheme="minorEastAsia"/>
                      <w:sz w:val="21"/>
                      <w:szCs w:val="21"/>
                      <w:lang w:val="en-US" w:eastAsia="zh-CN"/>
                    </w:rPr>
                    <w:t>天</w:t>
                  </w:r>
                </w:p>
              </w:tc>
            </w:tr>
          </w:tbl>
          <w:p w14:paraId="6F886D24">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3   本</w:t>
            </w:r>
            <w:r>
              <w:rPr>
                <w:rFonts w:hint="default" w:ascii="Times New Roman" w:hAnsi="Times New Roman" w:cs="Times New Roman" w:eastAsiaTheme="minorEastAsia"/>
                <w:b/>
                <w:bCs/>
                <w:color w:val="auto"/>
                <w:kern w:val="2"/>
                <w:sz w:val="24"/>
                <w:szCs w:val="24"/>
                <w:lang w:val="en-US" w:eastAsia="zh-CN" w:bidi="ar-SA"/>
              </w:rPr>
              <w:t>项目</w:t>
            </w:r>
            <w:r>
              <w:rPr>
                <w:rFonts w:hint="eastAsia" w:ascii="Times New Roman" w:hAnsi="Times New Roman" w:cs="Times New Roman" w:eastAsiaTheme="minorEastAsia"/>
                <w:b/>
                <w:bCs/>
                <w:color w:val="auto"/>
                <w:kern w:val="2"/>
                <w:sz w:val="24"/>
                <w:szCs w:val="24"/>
                <w:lang w:val="en-US" w:eastAsia="zh-CN" w:bidi="ar-SA"/>
              </w:rPr>
              <w:t>一期</w:t>
            </w:r>
            <w:r>
              <w:rPr>
                <w:rFonts w:hint="default" w:ascii="Times New Roman" w:hAnsi="Times New Roman" w:cs="Times New Roman" w:eastAsiaTheme="minorEastAsia"/>
                <w:b/>
                <w:bCs/>
                <w:color w:val="auto"/>
                <w:kern w:val="2"/>
                <w:sz w:val="24"/>
                <w:szCs w:val="24"/>
                <w:lang w:val="en-US" w:eastAsia="zh-CN" w:bidi="ar-SA"/>
              </w:rPr>
              <w:t>实际建设情况一览表</w:t>
            </w:r>
          </w:p>
          <w:tbl>
            <w:tblPr>
              <w:tblStyle w:val="17"/>
              <w:tblW w:w="911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46"/>
              <w:gridCol w:w="1692"/>
              <w:gridCol w:w="1488"/>
              <w:gridCol w:w="1442"/>
              <w:gridCol w:w="1547"/>
              <w:gridCol w:w="1224"/>
              <w:gridCol w:w="973"/>
            </w:tblGrid>
            <w:tr w14:paraId="5CE83D2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746" w:type="dxa"/>
                  <w:tcBorders>
                    <w:tl2br w:val="nil"/>
                    <w:tr2bl w:val="nil"/>
                  </w:tcBorders>
                  <w:vAlign w:val="center"/>
                </w:tcPr>
                <w:p w14:paraId="44601E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项目类别</w:t>
                  </w:r>
                </w:p>
              </w:tc>
              <w:tc>
                <w:tcPr>
                  <w:tcW w:w="1692" w:type="dxa"/>
                  <w:tcBorders>
                    <w:tl2br w:val="nil"/>
                    <w:tr2bl w:val="nil"/>
                  </w:tcBorders>
                  <w:vAlign w:val="center"/>
                </w:tcPr>
                <w:p w14:paraId="1B37B8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项目内容</w:t>
                  </w:r>
                </w:p>
              </w:tc>
              <w:tc>
                <w:tcPr>
                  <w:tcW w:w="2930" w:type="dxa"/>
                  <w:gridSpan w:val="2"/>
                  <w:tcBorders>
                    <w:tl2br w:val="nil"/>
                    <w:tr2bl w:val="nil"/>
                  </w:tcBorders>
                  <w:vAlign w:val="center"/>
                </w:tcPr>
                <w:p w14:paraId="29CE24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环评阶段计划建设内容</w:t>
                  </w:r>
                </w:p>
              </w:tc>
              <w:tc>
                <w:tcPr>
                  <w:tcW w:w="2771" w:type="dxa"/>
                  <w:gridSpan w:val="2"/>
                  <w:tcBorders>
                    <w:tl2br w:val="nil"/>
                    <w:tr2bl w:val="nil"/>
                  </w:tcBorders>
                  <w:vAlign w:val="center"/>
                </w:tcPr>
                <w:p w14:paraId="507553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实际建设内容</w:t>
                  </w:r>
                </w:p>
              </w:tc>
              <w:tc>
                <w:tcPr>
                  <w:tcW w:w="973" w:type="dxa"/>
                  <w:tcBorders>
                    <w:tl2br w:val="nil"/>
                    <w:tr2bl w:val="nil"/>
                  </w:tcBorders>
                  <w:vAlign w:val="center"/>
                </w:tcPr>
                <w:p w14:paraId="09FBCB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变化</w:t>
                  </w:r>
                </w:p>
                <w:p w14:paraId="6EB4A7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情况</w:t>
                  </w:r>
                </w:p>
              </w:tc>
            </w:tr>
            <w:tr w14:paraId="0024DDD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1" w:hRule="atLeast"/>
                <w:jc w:val="center"/>
              </w:trPr>
              <w:tc>
                <w:tcPr>
                  <w:tcW w:w="746" w:type="dxa"/>
                  <w:vMerge w:val="restart"/>
                  <w:tcBorders>
                    <w:tl2br w:val="nil"/>
                    <w:tr2bl w:val="nil"/>
                  </w:tcBorders>
                  <w:vAlign w:val="center"/>
                </w:tcPr>
                <w:p w14:paraId="7EBD74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主体工程</w:t>
                  </w:r>
                </w:p>
              </w:tc>
              <w:tc>
                <w:tcPr>
                  <w:tcW w:w="1692" w:type="dxa"/>
                  <w:tcBorders>
                    <w:bottom w:val="single" w:color="auto" w:sz="4" w:space="0"/>
                    <w:tl2br w:val="nil"/>
                    <w:tr2bl w:val="nil"/>
                  </w:tcBorders>
                  <w:shd w:val="clear" w:color="auto" w:fill="auto"/>
                  <w:vAlign w:val="center"/>
                </w:tcPr>
                <w:p w14:paraId="32357E39">
                  <w:pPr>
                    <w:pStyle w:val="24"/>
                    <w:textAlignment w:val="center"/>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2#</w:t>
                  </w:r>
                  <w:r>
                    <w:rPr>
                      <w:rFonts w:hint="default" w:ascii="Times New Roman" w:hAnsi="Times New Roman" w:eastAsia="宋体" w:cs="Times New Roman"/>
                      <w:color w:val="000000"/>
                      <w:kern w:val="0"/>
                      <w:sz w:val="21"/>
                      <w:szCs w:val="21"/>
                      <w:lang w:val="en-US" w:eastAsia="zh-CN" w:bidi="ar-SA"/>
                    </w:rPr>
                    <w:t>车间</w:t>
                  </w:r>
                </w:p>
              </w:tc>
              <w:tc>
                <w:tcPr>
                  <w:tcW w:w="2930" w:type="dxa"/>
                  <w:gridSpan w:val="2"/>
                  <w:tcBorders>
                    <w:bottom w:val="single" w:color="auto" w:sz="4" w:space="0"/>
                    <w:tl2br w:val="nil"/>
                    <w:tr2bl w:val="nil"/>
                  </w:tcBorders>
                  <w:shd w:val="clear" w:color="auto" w:fill="auto"/>
                  <w:vAlign w:val="center"/>
                </w:tcPr>
                <w:p w14:paraId="54CE67E4">
                  <w:pPr>
                    <w:pStyle w:val="24"/>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建筑面积144m</w:t>
                  </w:r>
                  <w:r>
                    <w:rPr>
                      <w:rFonts w:hint="eastAsia" w:ascii="Times New Roman" w:hAnsi="Times New Roman" w:eastAsia="宋体" w:cs="Times New Roman"/>
                      <w:color w:val="000000"/>
                      <w:kern w:val="0"/>
                      <w:sz w:val="21"/>
                      <w:szCs w:val="21"/>
                      <w:vertAlign w:val="superscript"/>
                      <w:lang w:val="en-US" w:eastAsia="zh-CN" w:bidi="ar-SA"/>
                    </w:rPr>
                    <w:t>2</w:t>
                  </w:r>
                  <w:r>
                    <w:rPr>
                      <w:rFonts w:hint="eastAsia" w:ascii="Times New Roman" w:hAnsi="Times New Roman" w:eastAsia="宋体" w:cs="Times New Roman"/>
                      <w:color w:val="000000"/>
                      <w:kern w:val="0"/>
                      <w:sz w:val="21"/>
                      <w:szCs w:val="21"/>
                      <w:lang w:val="en-US" w:eastAsia="zh-CN" w:bidi="ar-SA"/>
                    </w:rPr>
                    <w:t>，钢结构，抛丸车间；</w:t>
                  </w:r>
                </w:p>
              </w:tc>
              <w:tc>
                <w:tcPr>
                  <w:tcW w:w="2771" w:type="dxa"/>
                  <w:gridSpan w:val="2"/>
                  <w:tcBorders>
                    <w:bottom w:val="single" w:color="auto" w:sz="4" w:space="0"/>
                    <w:tl2br w:val="nil"/>
                    <w:tr2bl w:val="nil"/>
                  </w:tcBorders>
                  <w:vAlign w:val="center"/>
                </w:tcPr>
                <w:p w14:paraId="5A0C6737">
                  <w:pPr>
                    <w:pStyle w:val="24"/>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建筑面积144m</w:t>
                  </w:r>
                  <w:r>
                    <w:rPr>
                      <w:rFonts w:hint="eastAsia" w:ascii="Times New Roman" w:hAnsi="Times New Roman" w:eastAsia="宋体" w:cs="Times New Roman"/>
                      <w:color w:val="000000"/>
                      <w:kern w:val="0"/>
                      <w:sz w:val="21"/>
                      <w:szCs w:val="21"/>
                      <w:vertAlign w:val="superscript"/>
                      <w:lang w:val="en-US" w:eastAsia="zh-CN" w:bidi="ar-SA"/>
                    </w:rPr>
                    <w:t>2</w:t>
                  </w:r>
                  <w:r>
                    <w:rPr>
                      <w:rFonts w:hint="eastAsia" w:ascii="Times New Roman" w:hAnsi="Times New Roman" w:eastAsia="宋体" w:cs="Times New Roman"/>
                      <w:color w:val="000000"/>
                      <w:kern w:val="0"/>
                      <w:sz w:val="21"/>
                      <w:szCs w:val="21"/>
                      <w:lang w:val="en-US" w:eastAsia="zh-CN" w:bidi="ar-SA"/>
                    </w:rPr>
                    <w:t>，钢结构，抛丸车间；</w:t>
                  </w:r>
                </w:p>
              </w:tc>
              <w:tc>
                <w:tcPr>
                  <w:tcW w:w="973" w:type="dxa"/>
                  <w:tcBorders>
                    <w:bottom w:val="single" w:color="auto" w:sz="4" w:space="0"/>
                    <w:tl2br w:val="nil"/>
                    <w:tr2bl w:val="nil"/>
                  </w:tcBorders>
                  <w:vAlign w:val="center"/>
                </w:tcPr>
                <w:p w14:paraId="1E6CBF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Style w:val="25"/>
                      <w:rFonts w:hint="default" w:ascii="Times New Roman" w:hAnsi="Times New Roman" w:eastAsia="宋体" w:cs="Times New Roman"/>
                      <w:color w:val="000000"/>
                      <w:sz w:val="21"/>
                      <w:szCs w:val="21"/>
                      <w:lang w:val="en-US"/>
                    </w:rPr>
                    <w:t>未变化</w:t>
                  </w:r>
                </w:p>
              </w:tc>
            </w:tr>
            <w:tr w14:paraId="46AC8F2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1" w:hRule="atLeast"/>
                <w:jc w:val="center"/>
              </w:trPr>
              <w:tc>
                <w:tcPr>
                  <w:tcW w:w="746" w:type="dxa"/>
                  <w:vMerge w:val="continue"/>
                  <w:tcBorders>
                    <w:tl2br w:val="nil"/>
                    <w:tr2bl w:val="nil"/>
                  </w:tcBorders>
                  <w:vAlign w:val="center"/>
                </w:tcPr>
                <w:p w14:paraId="57392A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1692" w:type="dxa"/>
                  <w:tcBorders>
                    <w:bottom w:val="single" w:color="auto" w:sz="4" w:space="0"/>
                    <w:tl2br w:val="nil"/>
                    <w:tr2bl w:val="nil"/>
                  </w:tcBorders>
                  <w:shd w:val="clear" w:color="auto" w:fill="auto"/>
                  <w:vAlign w:val="center"/>
                </w:tcPr>
                <w:p w14:paraId="30C8A188">
                  <w:pPr>
                    <w:pStyle w:val="24"/>
                    <w:textAlignment w:val="center"/>
                    <w:rPr>
                      <w:rFonts w:hint="eastAsia"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3#车间</w:t>
                  </w:r>
                </w:p>
              </w:tc>
              <w:tc>
                <w:tcPr>
                  <w:tcW w:w="2930" w:type="dxa"/>
                  <w:gridSpan w:val="2"/>
                  <w:tcBorders>
                    <w:bottom w:val="single" w:color="auto" w:sz="4" w:space="0"/>
                    <w:tl2br w:val="nil"/>
                    <w:tr2bl w:val="nil"/>
                  </w:tcBorders>
                  <w:shd w:val="clear" w:color="auto" w:fill="auto"/>
                  <w:vAlign w:val="center"/>
                </w:tcPr>
                <w:p w14:paraId="0EB04C63">
                  <w:pPr>
                    <w:pStyle w:val="24"/>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建筑面积576m</w:t>
                  </w:r>
                  <w:r>
                    <w:rPr>
                      <w:rFonts w:hint="eastAsia" w:ascii="Times New Roman" w:hAnsi="Times New Roman" w:eastAsia="宋体" w:cs="Times New Roman"/>
                      <w:color w:val="000000"/>
                      <w:kern w:val="0"/>
                      <w:sz w:val="21"/>
                      <w:szCs w:val="21"/>
                      <w:vertAlign w:val="superscript"/>
                      <w:lang w:val="en-US" w:eastAsia="zh-CN" w:bidi="ar-SA"/>
                    </w:rPr>
                    <w:t>2</w:t>
                  </w:r>
                  <w:r>
                    <w:rPr>
                      <w:rFonts w:hint="eastAsia" w:ascii="Times New Roman" w:hAnsi="Times New Roman" w:eastAsia="宋体" w:cs="Times New Roman"/>
                      <w:color w:val="000000"/>
                      <w:kern w:val="0"/>
                      <w:sz w:val="21"/>
                      <w:szCs w:val="21"/>
                      <w:lang w:val="en-US" w:eastAsia="zh-CN" w:bidi="ar-SA"/>
                    </w:rPr>
                    <w:t>，钢结构，设有熔炼区、浇注区、造型区、混砂区、砂处理区等</w:t>
                  </w:r>
                </w:p>
              </w:tc>
              <w:tc>
                <w:tcPr>
                  <w:tcW w:w="2771" w:type="dxa"/>
                  <w:gridSpan w:val="2"/>
                  <w:tcBorders>
                    <w:bottom w:val="single" w:color="auto" w:sz="4" w:space="0"/>
                    <w:tl2br w:val="nil"/>
                    <w:tr2bl w:val="nil"/>
                  </w:tcBorders>
                  <w:vAlign w:val="center"/>
                </w:tcPr>
                <w:p w14:paraId="55D8A5A2">
                  <w:pPr>
                    <w:pStyle w:val="24"/>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建筑面积576m</w:t>
                  </w:r>
                  <w:r>
                    <w:rPr>
                      <w:rFonts w:hint="eastAsia" w:ascii="Times New Roman" w:hAnsi="Times New Roman" w:eastAsia="宋体" w:cs="Times New Roman"/>
                      <w:color w:val="000000"/>
                      <w:kern w:val="0"/>
                      <w:sz w:val="21"/>
                      <w:szCs w:val="21"/>
                      <w:vertAlign w:val="superscript"/>
                      <w:lang w:val="en-US" w:eastAsia="zh-CN" w:bidi="ar-SA"/>
                    </w:rPr>
                    <w:t>2</w:t>
                  </w:r>
                  <w:r>
                    <w:rPr>
                      <w:rFonts w:hint="eastAsia" w:ascii="Times New Roman" w:hAnsi="Times New Roman" w:eastAsia="宋体" w:cs="Times New Roman"/>
                      <w:color w:val="000000"/>
                      <w:kern w:val="0"/>
                      <w:sz w:val="21"/>
                      <w:szCs w:val="21"/>
                      <w:lang w:val="en-US" w:eastAsia="zh-CN" w:bidi="ar-SA"/>
                    </w:rPr>
                    <w:t>，钢结构，设有熔炼区、浇注区、造型区、混砂区、砂处理区等</w:t>
                  </w:r>
                </w:p>
              </w:tc>
              <w:tc>
                <w:tcPr>
                  <w:tcW w:w="973" w:type="dxa"/>
                  <w:tcBorders>
                    <w:bottom w:val="single" w:color="auto" w:sz="4" w:space="0"/>
                    <w:tl2br w:val="nil"/>
                    <w:tr2bl w:val="nil"/>
                  </w:tcBorders>
                  <w:vAlign w:val="center"/>
                </w:tcPr>
                <w:p w14:paraId="209377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5"/>
                      <w:rFonts w:hint="default" w:ascii="Times New Roman" w:hAnsi="Times New Roman" w:eastAsia="宋体" w:cs="Times New Roman"/>
                      <w:color w:val="000000"/>
                      <w:sz w:val="21"/>
                      <w:szCs w:val="21"/>
                      <w:lang w:val="en-US"/>
                    </w:rPr>
                  </w:pPr>
                  <w:r>
                    <w:rPr>
                      <w:rStyle w:val="25"/>
                      <w:rFonts w:hint="default" w:ascii="Times New Roman" w:hAnsi="Times New Roman" w:eastAsia="宋体" w:cs="Times New Roman"/>
                      <w:color w:val="000000"/>
                      <w:sz w:val="21"/>
                      <w:szCs w:val="21"/>
                      <w:lang w:val="en-US"/>
                    </w:rPr>
                    <w:t>未变化</w:t>
                  </w:r>
                </w:p>
              </w:tc>
            </w:tr>
            <w:tr w14:paraId="2E115F4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1" w:hRule="atLeast"/>
                <w:jc w:val="center"/>
              </w:trPr>
              <w:tc>
                <w:tcPr>
                  <w:tcW w:w="746" w:type="dxa"/>
                  <w:vMerge w:val="continue"/>
                  <w:tcBorders>
                    <w:tl2br w:val="nil"/>
                    <w:tr2bl w:val="nil"/>
                  </w:tcBorders>
                  <w:vAlign w:val="center"/>
                </w:tcPr>
                <w:p w14:paraId="3C454CD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1692" w:type="dxa"/>
                  <w:tcBorders>
                    <w:bottom w:val="single" w:color="auto" w:sz="4" w:space="0"/>
                    <w:tl2br w:val="nil"/>
                    <w:tr2bl w:val="nil"/>
                  </w:tcBorders>
                  <w:shd w:val="clear" w:color="auto" w:fill="auto"/>
                  <w:vAlign w:val="center"/>
                </w:tcPr>
                <w:p w14:paraId="1125E702">
                  <w:pPr>
                    <w:pStyle w:val="24"/>
                    <w:textAlignment w:val="center"/>
                    <w:rPr>
                      <w:rFonts w:hint="eastAsia"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4#车间</w:t>
                  </w:r>
                </w:p>
              </w:tc>
              <w:tc>
                <w:tcPr>
                  <w:tcW w:w="2930" w:type="dxa"/>
                  <w:gridSpan w:val="2"/>
                  <w:tcBorders>
                    <w:bottom w:val="single" w:color="auto" w:sz="4" w:space="0"/>
                    <w:tl2br w:val="nil"/>
                    <w:tr2bl w:val="nil"/>
                  </w:tcBorders>
                  <w:shd w:val="clear" w:color="auto" w:fill="auto"/>
                  <w:vAlign w:val="center"/>
                </w:tcPr>
                <w:p w14:paraId="47DBA408">
                  <w:pPr>
                    <w:pStyle w:val="24"/>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仅用车间南半部和西北部，合计占地面积（建筑）780m</w:t>
                  </w:r>
                  <w:r>
                    <w:rPr>
                      <w:rFonts w:hint="default" w:ascii="Times New Roman" w:hAnsi="Times New Roman" w:eastAsia="宋体" w:cs="Times New Roman"/>
                      <w:color w:val="000000"/>
                      <w:kern w:val="0"/>
                      <w:sz w:val="21"/>
                      <w:szCs w:val="21"/>
                      <w:vertAlign w:val="superscript"/>
                      <w:lang w:val="en-US" w:eastAsia="zh-CN" w:bidi="ar-SA"/>
                    </w:rPr>
                    <w:t>2</w:t>
                  </w:r>
                  <w:r>
                    <w:rPr>
                      <w:rFonts w:hint="eastAsia" w:ascii="Times New Roman" w:hAnsi="Times New Roman" w:eastAsia="宋体" w:cs="Times New Roman"/>
                      <w:color w:val="000000"/>
                      <w:kern w:val="0"/>
                      <w:sz w:val="21"/>
                      <w:szCs w:val="21"/>
                      <w:lang w:val="en-US" w:eastAsia="zh-CN" w:bidi="ar-SA"/>
                    </w:rPr>
                    <w:t>，钢结构，车间南半部设有原材料区、成品区、割冒口区、砂库等；西北侧设有回火区；</w:t>
                  </w:r>
                </w:p>
              </w:tc>
              <w:tc>
                <w:tcPr>
                  <w:tcW w:w="2771" w:type="dxa"/>
                  <w:gridSpan w:val="2"/>
                  <w:tcBorders>
                    <w:bottom w:val="single" w:color="auto" w:sz="4" w:space="0"/>
                    <w:tl2br w:val="nil"/>
                    <w:tr2bl w:val="nil"/>
                  </w:tcBorders>
                  <w:vAlign w:val="center"/>
                </w:tcPr>
                <w:p w14:paraId="0C4BAB45">
                  <w:pPr>
                    <w:pStyle w:val="24"/>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仅用车间南半部和西北部，合计占地面积（建筑）780m</w:t>
                  </w:r>
                  <w:r>
                    <w:rPr>
                      <w:rFonts w:hint="default" w:ascii="Times New Roman" w:hAnsi="Times New Roman" w:eastAsia="宋体" w:cs="Times New Roman"/>
                      <w:color w:val="000000"/>
                      <w:kern w:val="0"/>
                      <w:sz w:val="21"/>
                      <w:szCs w:val="21"/>
                      <w:vertAlign w:val="superscript"/>
                      <w:lang w:val="en-US" w:eastAsia="zh-CN" w:bidi="ar-SA"/>
                    </w:rPr>
                    <w:t>2</w:t>
                  </w:r>
                  <w:r>
                    <w:rPr>
                      <w:rFonts w:hint="eastAsia" w:ascii="Times New Roman" w:hAnsi="Times New Roman" w:eastAsia="宋体" w:cs="Times New Roman"/>
                      <w:color w:val="000000"/>
                      <w:kern w:val="0"/>
                      <w:sz w:val="21"/>
                      <w:szCs w:val="21"/>
                      <w:lang w:val="en-US" w:eastAsia="zh-CN" w:bidi="ar-SA"/>
                    </w:rPr>
                    <w:t>，钢结构，车间南半部设有原材料区、成品区、割冒口区、砂库等；西北侧设有回火区；</w:t>
                  </w:r>
                </w:p>
              </w:tc>
              <w:tc>
                <w:tcPr>
                  <w:tcW w:w="973" w:type="dxa"/>
                  <w:tcBorders>
                    <w:bottom w:val="single" w:color="auto" w:sz="4" w:space="0"/>
                    <w:tl2br w:val="nil"/>
                    <w:tr2bl w:val="nil"/>
                  </w:tcBorders>
                  <w:vAlign w:val="center"/>
                </w:tcPr>
                <w:p w14:paraId="6A5935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5"/>
                      <w:rFonts w:hint="default" w:ascii="Times New Roman" w:hAnsi="Times New Roman" w:eastAsia="宋体" w:cs="Times New Roman"/>
                      <w:color w:val="000000"/>
                      <w:sz w:val="21"/>
                      <w:szCs w:val="21"/>
                      <w:lang w:val="en-US"/>
                    </w:rPr>
                  </w:pPr>
                  <w:r>
                    <w:rPr>
                      <w:rStyle w:val="25"/>
                      <w:rFonts w:hint="default" w:ascii="Times New Roman" w:hAnsi="Times New Roman" w:eastAsia="宋体" w:cs="Times New Roman"/>
                      <w:color w:val="000000"/>
                      <w:sz w:val="21"/>
                      <w:szCs w:val="21"/>
                      <w:lang w:val="en-US"/>
                    </w:rPr>
                    <w:t>未变化</w:t>
                  </w:r>
                </w:p>
              </w:tc>
            </w:tr>
            <w:tr w14:paraId="7718F4B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1" w:hRule="atLeast"/>
                <w:jc w:val="center"/>
              </w:trPr>
              <w:tc>
                <w:tcPr>
                  <w:tcW w:w="746" w:type="dxa"/>
                  <w:vMerge w:val="continue"/>
                  <w:tcBorders>
                    <w:tl2br w:val="nil"/>
                    <w:tr2bl w:val="nil"/>
                  </w:tcBorders>
                  <w:vAlign w:val="center"/>
                </w:tcPr>
                <w:p w14:paraId="44ECD9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1692" w:type="dxa"/>
                  <w:tcBorders>
                    <w:bottom w:val="single" w:color="auto" w:sz="4" w:space="0"/>
                    <w:tl2br w:val="nil"/>
                    <w:tr2bl w:val="nil"/>
                  </w:tcBorders>
                  <w:shd w:val="clear" w:color="auto" w:fill="auto"/>
                  <w:vAlign w:val="center"/>
                </w:tcPr>
                <w:p w14:paraId="465DBD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1#车间</w:t>
                  </w:r>
                </w:p>
              </w:tc>
              <w:tc>
                <w:tcPr>
                  <w:tcW w:w="2930" w:type="dxa"/>
                  <w:gridSpan w:val="2"/>
                  <w:tcBorders>
                    <w:bottom w:val="single" w:color="auto" w:sz="4" w:space="0"/>
                    <w:tl2br w:val="nil"/>
                    <w:tr2bl w:val="nil"/>
                  </w:tcBorders>
                  <w:shd w:val="clear" w:color="auto" w:fill="auto"/>
                  <w:vAlign w:val="center"/>
                </w:tcPr>
                <w:p w14:paraId="451A82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建筑面积1300m</w:t>
                  </w:r>
                  <w:r>
                    <w:rPr>
                      <w:rFonts w:hint="eastAsia" w:ascii="Times New Roman" w:hAnsi="Times New Roman" w:eastAsia="宋体" w:cs="Times New Roman"/>
                      <w:color w:val="000000"/>
                      <w:kern w:val="0"/>
                      <w:sz w:val="21"/>
                      <w:szCs w:val="21"/>
                      <w:vertAlign w:val="superscript"/>
                      <w:lang w:val="en-US" w:eastAsia="zh-CN"/>
                    </w:rPr>
                    <w:t>2</w:t>
                  </w:r>
                  <w:r>
                    <w:rPr>
                      <w:rFonts w:hint="eastAsia" w:ascii="Times New Roman" w:hAnsi="Times New Roman" w:eastAsia="宋体" w:cs="Times New Roman"/>
                      <w:color w:val="000000"/>
                      <w:kern w:val="0"/>
                      <w:sz w:val="21"/>
                      <w:szCs w:val="21"/>
                      <w:lang w:val="en-US" w:eastAsia="zh-CN"/>
                    </w:rPr>
                    <w:t>，钢结构，机加工车间；</w:t>
                  </w:r>
                </w:p>
              </w:tc>
              <w:tc>
                <w:tcPr>
                  <w:tcW w:w="2771" w:type="dxa"/>
                  <w:gridSpan w:val="2"/>
                  <w:tcBorders>
                    <w:bottom w:val="single" w:color="auto" w:sz="4" w:space="0"/>
                    <w:tl2br w:val="nil"/>
                    <w:tr2bl w:val="nil"/>
                  </w:tcBorders>
                  <w:vAlign w:val="center"/>
                </w:tcPr>
                <w:p w14:paraId="1A05D4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建筑面积1300m</w:t>
                  </w:r>
                  <w:r>
                    <w:rPr>
                      <w:rFonts w:hint="eastAsia" w:ascii="Times New Roman" w:hAnsi="Times New Roman" w:eastAsia="宋体" w:cs="Times New Roman"/>
                      <w:color w:val="000000"/>
                      <w:kern w:val="0"/>
                      <w:sz w:val="21"/>
                      <w:szCs w:val="21"/>
                      <w:vertAlign w:val="superscript"/>
                      <w:lang w:val="en-US" w:eastAsia="zh-CN" w:bidi="ar-SA"/>
                    </w:rPr>
                    <w:t>2</w:t>
                  </w:r>
                  <w:r>
                    <w:rPr>
                      <w:rFonts w:hint="eastAsia" w:ascii="Times New Roman" w:hAnsi="Times New Roman" w:eastAsia="宋体" w:cs="Times New Roman"/>
                      <w:color w:val="000000"/>
                      <w:kern w:val="0"/>
                      <w:sz w:val="21"/>
                      <w:szCs w:val="21"/>
                      <w:lang w:val="en-US" w:eastAsia="zh-CN" w:bidi="ar-SA"/>
                    </w:rPr>
                    <w:t>，钢结构，机加工车间；</w:t>
                  </w:r>
                </w:p>
              </w:tc>
              <w:tc>
                <w:tcPr>
                  <w:tcW w:w="973" w:type="dxa"/>
                  <w:tcBorders>
                    <w:bottom w:val="single" w:color="auto" w:sz="4" w:space="0"/>
                    <w:tl2br w:val="nil"/>
                    <w:tr2bl w:val="nil"/>
                  </w:tcBorders>
                  <w:vAlign w:val="center"/>
                </w:tcPr>
                <w:p w14:paraId="17B9EC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5"/>
                      <w:rFonts w:hint="default" w:ascii="Times New Roman" w:hAnsi="Times New Roman" w:eastAsia="宋体" w:cs="Times New Roman"/>
                      <w:color w:val="000000"/>
                      <w:sz w:val="21"/>
                      <w:szCs w:val="21"/>
                      <w:lang w:val="en-US"/>
                    </w:rPr>
                  </w:pPr>
                  <w:r>
                    <w:rPr>
                      <w:rStyle w:val="25"/>
                      <w:rFonts w:hint="default" w:ascii="Times New Roman" w:hAnsi="Times New Roman" w:eastAsia="宋体" w:cs="Times New Roman"/>
                      <w:color w:val="000000"/>
                      <w:sz w:val="21"/>
                      <w:szCs w:val="21"/>
                      <w:lang w:val="en-US"/>
                    </w:rPr>
                    <w:t>未变化</w:t>
                  </w:r>
                </w:p>
              </w:tc>
            </w:tr>
            <w:tr w14:paraId="18F1C5F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8" w:hRule="atLeast"/>
                <w:jc w:val="center"/>
              </w:trPr>
              <w:tc>
                <w:tcPr>
                  <w:tcW w:w="746" w:type="dxa"/>
                  <w:vMerge w:val="restart"/>
                  <w:tcBorders>
                    <w:top w:val="single" w:color="auto" w:sz="4" w:space="0"/>
                    <w:tl2br w:val="nil"/>
                    <w:tr2bl w:val="nil"/>
                  </w:tcBorders>
                  <w:vAlign w:val="center"/>
                </w:tcPr>
                <w:p w14:paraId="73D7FB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r>
                    <w:rPr>
                      <w:rFonts w:hint="default" w:ascii="Times New Roman" w:hAnsi="Times New Roman" w:eastAsia="宋体" w:cs="Times New Roman"/>
                      <w:color w:val="000000"/>
                      <w:kern w:val="0"/>
                      <w:sz w:val="21"/>
                      <w:szCs w:val="21"/>
                      <w:lang w:eastAsia="zh-CN"/>
                    </w:rPr>
                    <w:t>辅助工程</w:t>
                  </w:r>
                </w:p>
              </w:tc>
              <w:tc>
                <w:tcPr>
                  <w:tcW w:w="1692" w:type="dxa"/>
                  <w:tcBorders>
                    <w:tl2br w:val="nil"/>
                    <w:tr2bl w:val="nil"/>
                  </w:tcBorders>
                  <w:vAlign w:val="center"/>
                </w:tcPr>
                <w:p w14:paraId="3A99A0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仓库</w:t>
                  </w:r>
                </w:p>
              </w:tc>
              <w:tc>
                <w:tcPr>
                  <w:tcW w:w="2930" w:type="dxa"/>
                  <w:gridSpan w:val="2"/>
                  <w:tcBorders>
                    <w:tl2br w:val="nil"/>
                    <w:tr2bl w:val="nil"/>
                  </w:tcBorders>
                  <w:vAlign w:val="center"/>
                </w:tcPr>
                <w:p w14:paraId="5DF76A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建筑面积400m</w:t>
                  </w:r>
                  <w:r>
                    <w:rPr>
                      <w:rFonts w:hint="eastAsia" w:ascii="Times New Roman" w:hAnsi="Times New Roman" w:eastAsia="宋体" w:cs="Times New Roman"/>
                      <w:color w:val="000000"/>
                      <w:kern w:val="0"/>
                      <w:sz w:val="21"/>
                      <w:szCs w:val="21"/>
                      <w:vertAlign w:val="superscript"/>
                      <w:lang w:val="en-US" w:eastAsia="zh-CN"/>
                    </w:rPr>
                    <w:t>2</w:t>
                  </w:r>
                  <w:r>
                    <w:rPr>
                      <w:rFonts w:hint="eastAsia" w:ascii="Times New Roman" w:hAnsi="Times New Roman" w:eastAsia="宋体" w:cs="Times New Roman"/>
                      <w:color w:val="000000"/>
                      <w:kern w:val="0"/>
                      <w:sz w:val="21"/>
                      <w:szCs w:val="21"/>
                      <w:lang w:val="en-US" w:eastAsia="zh-CN"/>
                    </w:rPr>
                    <w:t>，钢结构，存放配件、杂物等</w:t>
                  </w:r>
                </w:p>
              </w:tc>
              <w:tc>
                <w:tcPr>
                  <w:tcW w:w="2771" w:type="dxa"/>
                  <w:gridSpan w:val="2"/>
                  <w:tcBorders>
                    <w:tl2br w:val="nil"/>
                    <w:tr2bl w:val="nil"/>
                  </w:tcBorders>
                  <w:vAlign w:val="center"/>
                </w:tcPr>
                <w:p w14:paraId="20E958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rPr>
                    <w:t>建筑面积400m</w:t>
                  </w:r>
                  <w:r>
                    <w:rPr>
                      <w:rFonts w:hint="eastAsia" w:ascii="Times New Roman" w:hAnsi="Times New Roman" w:eastAsia="宋体" w:cs="Times New Roman"/>
                      <w:color w:val="000000"/>
                      <w:kern w:val="0"/>
                      <w:sz w:val="21"/>
                      <w:szCs w:val="21"/>
                      <w:vertAlign w:val="superscript"/>
                      <w:lang w:val="en-US" w:eastAsia="zh-CN"/>
                    </w:rPr>
                    <w:t>2</w:t>
                  </w:r>
                  <w:r>
                    <w:rPr>
                      <w:rFonts w:hint="eastAsia" w:ascii="Times New Roman" w:hAnsi="Times New Roman" w:eastAsia="宋体" w:cs="Times New Roman"/>
                      <w:color w:val="000000"/>
                      <w:kern w:val="0"/>
                      <w:sz w:val="21"/>
                      <w:szCs w:val="21"/>
                      <w:lang w:val="en-US" w:eastAsia="zh-CN"/>
                    </w:rPr>
                    <w:t>，钢结构，存放配件、杂物等</w:t>
                  </w:r>
                </w:p>
              </w:tc>
              <w:tc>
                <w:tcPr>
                  <w:tcW w:w="973" w:type="dxa"/>
                  <w:tcBorders>
                    <w:tl2br w:val="nil"/>
                    <w:tr2bl w:val="nil"/>
                  </w:tcBorders>
                  <w:vAlign w:val="center"/>
                </w:tcPr>
                <w:p w14:paraId="642A4D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Style w:val="25"/>
                      <w:rFonts w:hint="default" w:ascii="Times New Roman" w:hAnsi="Times New Roman" w:eastAsia="宋体" w:cs="Times New Roman"/>
                      <w:color w:val="000000"/>
                      <w:sz w:val="21"/>
                      <w:szCs w:val="21"/>
                      <w:lang w:val="en-US"/>
                    </w:rPr>
                    <w:t>未变化</w:t>
                  </w:r>
                </w:p>
              </w:tc>
            </w:tr>
            <w:tr w14:paraId="031CEDD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8" w:hRule="atLeast"/>
                <w:jc w:val="center"/>
              </w:trPr>
              <w:tc>
                <w:tcPr>
                  <w:tcW w:w="746" w:type="dxa"/>
                  <w:vMerge w:val="continue"/>
                  <w:tcBorders>
                    <w:tl2br w:val="nil"/>
                    <w:tr2bl w:val="nil"/>
                  </w:tcBorders>
                  <w:vAlign w:val="center"/>
                </w:tcPr>
                <w:p w14:paraId="3A7340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c>
                <w:tcPr>
                  <w:tcW w:w="1692" w:type="dxa"/>
                  <w:tcBorders>
                    <w:tl2br w:val="nil"/>
                    <w:tr2bl w:val="nil"/>
                  </w:tcBorders>
                  <w:vAlign w:val="center"/>
                </w:tcPr>
                <w:p w14:paraId="5B9D6F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综合办公楼</w:t>
                  </w:r>
                </w:p>
              </w:tc>
              <w:tc>
                <w:tcPr>
                  <w:tcW w:w="2930" w:type="dxa"/>
                  <w:gridSpan w:val="2"/>
                  <w:tcBorders>
                    <w:tl2br w:val="nil"/>
                    <w:tr2bl w:val="nil"/>
                  </w:tcBorders>
                  <w:vAlign w:val="center"/>
                </w:tcPr>
                <w:p w14:paraId="7ED8F2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3</w:t>
                  </w:r>
                  <w:r>
                    <w:rPr>
                      <w:rFonts w:hint="default" w:ascii="Times New Roman" w:hAnsi="Times New Roman" w:eastAsia="宋体" w:cs="Times New Roman"/>
                      <w:color w:val="000000"/>
                      <w:kern w:val="0"/>
                      <w:sz w:val="21"/>
                      <w:szCs w:val="21"/>
                      <w:lang w:val="en-US" w:eastAsia="zh-CN"/>
                    </w:rPr>
                    <w:t>F</w:t>
                  </w:r>
                  <w:r>
                    <w:rPr>
                      <w:rFonts w:hint="eastAsia" w:ascii="Times New Roman" w:hAnsi="Times New Roman" w:eastAsia="宋体" w:cs="Times New Roman"/>
                      <w:color w:val="000000"/>
                      <w:kern w:val="0"/>
                      <w:sz w:val="21"/>
                      <w:szCs w:val="21"/>
                      <w:lang w:val="en-US" w:eastAsia="zh-CN"/>
                    </w:rPr>
                    <w:t>，建筑面积1450m</w:t>
                  </w:r>
                  <w:r>
                    <w:rPr>
                      <w:rFonts w:hint="eastAsia" w:ascii="Times New Roman" w:hAnsi="Times New Roman" w:eastAsia="宋体" w:cs="Times New Roman"/>
                      <w:color w:val="000000"/>
                      <w:kern w:val="0"/>
                      <w:sz w:val="21"/>
                      <w:szCs w:val="21"/>
                      <w:vertAlign w:val="superscript"/>
                      <w:lang w:val="en-US" w:eastAsia="zh-CN"/>
                    </w:rPr>
                    <w:t>2</w:t>
                  </w:r>
                  <w:r>
                    <w:rPr>
                      <w:rFonts w:hint="eastAsia" w:ascii="Times New Roman" w:hAnsi="Times New Roman" w:eastAsia="宋体" w:cs="Times New Roman"/>
                      <w:color w:val="000000"/>
                      <w:kern w:val="0"/>
                      <w:sz w:val="21"/>
                      <w:szCs w:val="21"/>
                      <w:lang w:val="en-US" w:eastAsia="zh-CN"/>
                    </w:rPr>
                    <w:t>，位于厂区西侧</w:t>
                  </w:r>
                </w:p>
              </w:tc>
              <w:tc>
                <w:tcPr>
                  <w:tcW w:w="2771" w:type="dxa"/>
                  <w:gridSpan w:val="2"/>
                  <w:tcBorders>
                    <w:tl2br w:val="nil"/>
                    <w:tr2bl w:val="nil"/>
                  </w:tcBorders>
                  <w:vAlign w:val="center"/>
                </w:tcPr>
                <w:p w14:paraId="473CC8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rPr>
                    <w:t>3</w:t>
                  </w:r>
                  <w:r>
                    <w:rPr>
                      <w:rFonts w:hint="default" w:ascii="Times New Roman" w:hAnsi="Times New Roman" w:eastAsia="宋体" w:cs="Times New Roman"/>
                      <w:color w:val="000000"/>
                      <w:kern w:val="0"/>
                      <w:sz w:val="21"/>
                      <w:szCs w:val="21"/>
                      <w:lang w:val="en-US" w:eastAsia="zh-CN"/>
                    </w:rPr>
                    <w:t>F</w:t>
                  </w:r>
                  <w:r>
                    <w:rPr>
                      <w:rFonts w:hint="eastAsia" w:ascii="Times New Roman" w:hAnsi="Times New Roman" w:eastAsia="宋体" w:cs="Times New Roman"/>
                      <w:color w:val="000000"/>
                      <w:kern w:val="0"/>
                      <w:sz w:val="21"/>
                      <w:szCs w:val="21"/>
                      <w:lang w:val="en-US" w:eastAsia="zh-CN"/>
                    </w:rPr>
                    <w:t>，建筑面积1450m</w:t>
                  </w:r>
                  <w:r>
                    <w:rPr>
                      <w:rFonts w:hint="eastAsia" w:ascii="Times New Roman" w:hAnsi="Times New Roman" w:eastAsia="宋体" w:cs="Times New Roman"/>
                      <w:color w:val="000000"/>
                      <w:kern w:val="0"/>
                      <w:sz w:val="21"/>
                      <w:szCs w:val="21"/>
                      <w:vertAlign w:val="superscript"/>
                      <w:lang w:val="en-US" w:eastAsia="zh-CN"/>
                    </w:rPr>
                    <w:t>2</w:t>
                  </w:r>
                  <w:r>
                    <w:rPr>
                      <w:rFonts w:hint="eastAsia" w:ascii="Times New Roman" w:hAnsi="Times New Roman" w:eastAsia="宋体" w:cs="Times New Roman"/>
                      <w:color w:val="000000"/>
                      <w:kern w:val="0"/>
                      <w:sz w:val="21"/>
                      <w:szCs w:val="21"/>
                      <w:lang w:val="en-US" w:eastAsia="zh-CN"/>
                    </w:rPr>
                    <w:t>，位于厂区西侧</w:t>
                  </w:r>
                </w:p>
              </w:tc>
              <w:tc>
                <w:tcPr>
                  <w:tcW w:w="973" w:type="dxa"/>
                  <w:tcBorders>
                    <w:tl2br w:val="nil"/>
                    <w:tr2bl w:val="nil"/>
                  </w:tcBorders>
                  <w:vAlign w:val="center"/>
                </w:tcPr>
                <w:p w14:paraId="5584C1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Style w:val="25"/>
                      <w:rFonts w:hint="default" w:ascii="Times New Roman" w:hAnsi="Times New Roman" w:eastAsia="宋体" w:cs="Times New Roman"/>
                      <w:color w:val="000000"/>
                      <w:sz w:val="21"/>
                      <w:szCs w:val="21"/>
                      <w:lang w:val="en-US"/>
                    </w:rPr>
                    <w:t>未变化</w:t>
                  </w:r>
                </w:p>
              </w:tc>
            </w:tr>
            <w:tr w14:paraId="764FEE1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8" w:hRule="atLeast"/>
                <w:jc w:val="center"/>
              </w:trPr>
              <w:tc>
                <w:tcPr>
                  <w:tcW w:w="746" w:type="dxa"/>
                  <w:vMerge w:val="continue"/>
                  <w:tcBorders>
                    <w:tl2br w:val="nil"/>
                    <w:tr2bl w:val="nil"/>
                  </w:tcBorders>
                  <w:vAlign w:val="center"/>
                </w:tcPr>
                <w:p w14:paraId="04E52A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c>
                <w:tcPr>
                  <w:tcW w:w="1692" w:type="dxa"/>
                  <w:tcBorders>
                    <w:tl2br w:val="nil"/>
                    <w:tr2bl w:val="nil"/>
                  </w:tcBorders>
                  <w:vAlign w:val="center"/>
                </w:tcPr>
                <w:p w14:paraId="772A8F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办公室</w:t>
                  </w:r>
                </w:p>
              </w:tc>
              <w:tc>
                <w:tcPr>
                  <w:tcW w:w="2930" w:type="dxa"/>
                  <w:gridSpan w:val="2"/>
                  <w:tcBorders>
                    <w:tl2br w:val="nil"/>
                    <w:tr2bl w:val="nil"/>
                  </w:tcBorders>
                  <w:vAlign w:val="center"/>
                </w:tcPr>
                <w:p w14:paraId="719AF4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eastAsia" w:ascii="Times New Roman" w:hAnsi="Times New Roman" w:eastAsia="宋体" w:cs="Times New Roman"/>
                      <w:color w:val="000000"/>
                      <w:kern w:val="0"/>
                      <w:sz w:val="21"/>
                      <w:szCs w:val="21"/>
                      <w:lang w:val="en-US" w:eastAsia="zh-CN"/>
                    </w:rPr>
                    <w:t>1</w:t>
                  </w:r>
                  <w:r>
                    <w:rPr>
                      <w:rFonts w:hint="default" w:ascii="Times New Roman" w:hAnsi="Times New Roman" w:eastAsia="宋体" w:cs="Times New Roman"/>
                      <w:color w:val="000000"/>
                      <w:kern w:val="0"/>
                      <w:sz w:val="21"/>
                      <w:szCs w:val="21"/>
                      <w:lang w:val="en-US" w:eastAsia="zh-CN"/>
                    </w:rPr>
                    <w:t>F</w:t>
                  </w:r>
                  <w:r>
                    <w:rPr>
                      <w:rFonts w:hint="eastAsia" w:ascii="Times New Roman" w:hAnsi="Times New Roman" w:eastAsia="宋体" w:cs="Times New Roman"/>
                      <w:color w:val="000000"/>
                      <w:kern w:val="0"/>
                      <w:sz w:val="21"/>
                      <w:szCs w:val="21"/>
                      <w:lang w:val="en-US" w:eastAsia="zh-CN"/>
                    </w:rPr>
                    <w:t>，建筑面积100m</w:t>
                  </w:r>
                  <w:r>
                    <w:rPr>
                      <w:rFonts w:hint="eastAsia" w:ascii="Times New Roman" w:hAnsi="Times New Roman" w:eastAsia="宋体" w:cs="Times New Roman"/>
                      <w:color w:val="000000"/>
                      <w:kern w:val="0"/>
                      <w:sz w:val="21"/>
                      <w:szCs w:val="21"/>
                      <w:vertAlign w:val="superscript"/>
                      <w:lang w:val="en-US" w:eastAsia="zh-CN"/>
                    </w:rPr>
                    <w:t>2</w:t>
                  </w:r>
                  <w:r>
                    <w:rPr>
                      <w:rFonts w:hint="eastAsia" w:ascii="Times New Roman" w:hAnsi="Times New Roman" w:eastAsia="宋体" w:cs="Times New Roman"/>
                      <w:color w:val="000000"/>
                      <w:kern w:val="0"/>
                      <w:sz w:val="21"/>
                      <w:szCs w:val="21"/>
                      <w:lang w:val="en-US" w:eastAsia="zh-CN"/>
                    </w:rPr>
                    <w:t>，位于厂区西南侧</w:t>
                  </w:r>
                </w:p>
              </w:tc>
              <w:tc>
                <w:tcPr>
                  <w:tcW w:w="2771" w:type="dxa"/>
                  <w:gridSpan w:val="2"/>
                  <w:tcBorders>
                    <w:tl2br w:val="nil"/>
                    <w:tr2bl w:val="nil"/>
                  </w:tcBorders>
                  <w:vAlign w:val="center"/>
                </w:tcPr>
                <w:p w14:paraId="67BC0D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eastAsia="zh-CN"/>
                    </w:rPr>
                  </w:pPr>
                  <w:r>
                    <w:rPr>
                      <w:rFonts w:hint="eastAsia" w:ascii="Times New Roman" w:hAnsi="Times New Roman" w:eastAsia="宋体" w:cs="Times New Roman"/>
                      <w:color w:val="000000"/>
                      <w:kern w:val="0"/>
                      <w:sz w:val="21"/>
                      <w:szCs w:val="21"/>
                      <w:lang w:val="en-US" w:eastAsia="zh-CN"/>
                    </w:rPr>
                    <w:t>1</w:t>
                  </w:r>
                  <w:r>
                    <w:rPr>
                      <w:rFonts w:hint="default" w:ascii="Times New Roman" w:hAnsi="Times New Roman" w:eastAsia="宋体" w:cs="Times New Roman"/>
                      <w:color w:val="000000"/>
                      <w:kern w:val="0"/>
                      <w:sz w:val="21"/>
                      <w:szCs w:val="21"/>
                      <w:lang w:val="en-US" w:eastAsia="zh-CN"/>
                    </w:rPr>
                    <w:t>F</w:t>
                  </w:r>
                  <w:r>
                    <w:rPr>
                      <w:rFonts w:hint="eastAsia" w:ascii="Times New Roman" w:hAnsi="Times New Roman" w:eastAsia="宋体" w:cs="Times New Roman"/>
                      <w:color w:val="000000"/>
                      <w:kern w:val="0"/>
                      <w:sz w:val="21"/>
                      <w:szCs w:val="21"/>
                      <w:lang w:val="en-US" w:eastAsia="zh-CN"/>
                    </w:rPr>
                    <w:t>，建筑面积100m</w:t>
                  </w:r>
                  <w:r>
                    <w:rPr>
                      <w:rFonts w:hint="eastAsia" w:ascii="Times New Roman" w:hAnsi="Times New Roman" w:eastAsia="宋体" w:cs="Times New Roman"/>
                      <w:color w:val="000000"/>
                      <w:kern w:val="0"/>
                      <w:sz w:val="21"/>
                      <w:szCs w:val="21"/>
                      <w:vertAlign w:val="superscript"/>
                      <w:lang w:val="en-US" w:eastAsia="zh-CN"/>
                    </w:rPr>
                    <w:t>2</w:t>
                  </w:r>
                  <w:r>
                    <w:rPr>
                      <w:rFonts w:hint="eastAsia" w:ascii="Times New Roman" w:hAnsi="Times New Roman" w:eastAsia="宋体" w:cs="Times New Roman"/>
                      <w:color w:val="000000"/>
                      <w:kern w:val="0"/>
                      <w:sz w:val="21"/>
                      <w:szCs w:val="21"/>
                      <w:lang w:val="en-US" w:eastAsia="zh-CN"/>
                    </w:rPr>
                    <w:t>，位于厂区西南侧</w:t>
                  </w:r>
                </w:p>
              </w:tc>
              <w:tc>
                <w:tcPr>
                  <w:tcW w:w="973" w:type="dxa"/>
                  <w:tcBorders>
                    <w:tl2br w:val="nil"/>
                    <w:tr2bl w:val="nil"/>
                  </w:tcBorders>
                  <w:vAlign w:val="center"/>
                </w:tcPr>
                <w:p w14:paraId="6AD748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Style w:val="25"/>
                      <w:rFonts w:hint="default" w:ascii="Times New Roman" w:hAnsi="Times New Roman" w:eastAsia="宋体" w:cs="Times New Roman"/>
                      <w:color w:val="000000"/>
                      <w:sz w:val="21"/>
                      <w:szCs w:val="21"/>
                      <w:lang w:val="en-US"/>
                    </w:rPr>
                  </w:pPr>
                  <w:r>
                    <w:rPr>
                      <w:rStyle w:val="25"/>
                      <w:rFonts w:hint="default" w:ascii="Times New Roman" w:hAnsi="Times New Roman" w:eastAsia="宋体" w:cs="Times New Roman"/>
                      <w:color w:val="000000"/>
                      <w:sz w:val="21"/>
                      <w:szCs w:val="21"/>
                      <w:lang w:val="en-US"/>
                    </w:rPr>
                    <w:t>未变化</w:t>
                  </w:r>
                </w:p>
              </w:tc>
            </w:tr>
            <w:tr w14:paraId="137809B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8" w:hRule="atLeast"/>
                <w:jc w:val="center"/>
              </w:trPr>
              <w:tc>
                <w:tcPr>
                  <w:tcW w:w="746" w:type="dxa"/>
                  <w:vMerge w:val="restart"/>
                  <w:tcBorders>
                    <w:top w:val="single" w:color="auto" w:sz="4" w:space="0"/>
                    <w:tl2br w:val="nil"/>
                    <w:tr2bl w:val="nil"/>
                  </w:tcBorders>
                  <w:vAlign w:val="center"/>
                </w:tcPr>
                <w:p w14:paraId="236DF4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环保工程</w:t>
                  </w:r>
                </w:p>
              </w:tc>
              <w:tc>
                <w:tcPr>
                  <w:tcW w:w="1692" w:type="dxa"/>
                  <w:tcBorders>
                    <w:bottom w:val="single" w:color="000000" w:sz="4" w:space="0"/>
                    <w:tl2br w:val="nil"/>
                    <w:tr2bl w:val="nil"/>
                  </w:tcBorders>
                  <w:vAlign w:val="center"/>
                </w:tcPr>
                <w:p w14:paraId="6BEE5F1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2"/>
                      <w:sz w:val="21"/>
                      <w:szCs w:val="21"/>
                      <w:highlight w:val="none"/>
                      <w:lang w:val="en-US" w:eastAsia="zh-CN" w:bidi="ar-SA"/>
                    </w:rPr>
                  </w:pPr>
                  <w:r>
                    <w:rPr>
                      <w:rFonts w:hint="default" w:ascii="Times New Roman" w:hAnsi="Times New Roman" w:eastAsia="宋体" w:cs="Times New Roman"/>
                      <w:bCs/>
                      <w:kern w:val="2"/>
                      <w:sz w:val="21"/>
                      <w:szCs w:val="21"/>
                      <w:highlight w:val="none"/>
                      <w:lang w:val="en-US" w:eastAsia="zh-CN" w:bidi="ar-SA"/>
                    </w:rPr>
                    <w:t>熔炼工序</w:t>
                  </w:r>
                </w:p>
              </w:tc>
              <w:tc>
                <w:tcPr>
                  <w:tcW w:w="1488" w:type="dxa"/>
                  <w:tcBorders>
                    <w:bottom w:val="single" w:color="000000" w:sz="4" w:space="0"/>
                    <w:right w:val="single" w:color="auto" w:sz="4" w:space="0"/>
                    <w:tl2br w:val="nil"/>
                    <w:tr2bl w:val="nil"/>
                  </w:tcBorders>
                  <w:shd w:val="clear" w:color="auto" w:fill="auto"/>
                  <w:vAlign w:val="center"/>
                </w:tcPr>
                <w:p w14:paraId="323EE76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2"/>
                      <w:sz w:val="21"/>
                      <w:szCs w:val="21"/>
                      <w:highlight w:val="none"/>
                      <w:lang w:val="en-US" w:eastAsia="zh-CN" w:bidi="ar-SA"/>
                    </w:rPr>
                  </w:pPr>
                  <w:r>
                    <w:rPr>
                      <w:rFonts w:hint="default" w:ascii="Times New Roman" w:hAnsi="Times New Roman" w:eastAsia="宋体" w:cs="Times New Roman"/>
                      <w:bCs/>
                      <w:kern w:val="2"/>
                      <w:sz w:val="21"/>
                      <w:szCs w:val="21"/>
                      <w:highlight w:val="none"/>
                      <w:lang w:val="en-US" w:eastAsia="zh-CN" w:bidi="ar-SA"/>
                    </w:rPr>
                    <w:t>袋式除尘器（1#）+活性炭吸附</w:t>
                  </w:r>
                </w:p>
              </w:tc>
              <w:tc>
                <w:tcPr>
                  <w:tcW w:w="1442" w:type="dxa"/>
                  <w:vMerge w:val="restart"/>
                  <w:tcBorders>
                    <w:left w:val="single" w:color="auto" w:sz="4" w:space="0"/>
                    <w:tl2br w:val="nil"/>
                    <w:tr2bl w:val="nil"/>
                  </w:tcBorders>
                  <w:vAlign w:val="center"/>
                </w:tcPr>
                <w:p w14:paraId="15787F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eastAsia="zh-CN"/>
                    </w:rPr>
                  </w:pPr>
                  <w:r>
                    <w:rPr>
                      <w:rFonts w:hint="default" w:ascii="Times New Roman" w:hAnsi="Times New Roman" w:eastAsia="宋体" w:cs="Times New Roman"/>
                      <w:bCs/>
                      <w:kern w:val="2"/>
                      <w:sz w:val="21"/>
                      <w:szCs w:val="21"/>
                      <w:highlight w:val="none"/>
                      <w:lang w:val="en-US" w:eastAsia="zh-CN" w:bidi="ar-SA"/>
                    </w:rPr>
                    <w:t>集中袋式除尘器（2#）+15m高排气筒（P1）</w:t>
                  </w:r>
                </w:p>
              </w:tc>
              <w:tc>
                <w:tcPr>
                  <w:tcW w:w="1547" w:type="dxa"/>
                  <w:vMerge w:val="restart"/>
                  <w:tcBorders>
                    <w:right w:val="single" w:color="auto" w:sz="4" w:space="0"/>
                    <w:tl2br w:val="nil"/>
                    <w:tr2bl w:val="nil"/>
                  </w:tcBorders>
                  <w:shd w:val="clear" w:color="auto" w:fill="auto"/>
                  <w:vAlign w:val="center"/>
                </w:tcPr>
                <w:p w14:paraId="007CC1D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2"/>
                      <w:sz w:val="21"/>
                      <w:szCs w:val="21"/>
                      <w:highlight w:val="none"/>
                      <w:lang w:val="en-US" w:eastAsia="zh-CN" w:bidi="ar-SA"/>
                    </w:rPr>
                  </w:pPr>
                  <w:r>
                    <w:rPr>
                      <w:rFonts w:hint="default" w:ascii="Times New Roman" w:hAnsi="Times New Roman" w:eastAsia="宋体" w:cs="Times New Roman"/>
                      <w:bCs/>
                      <w:kern w:val="2"/>
                      <w:sz w:val="21"/>
                      <w:szCs w:val="21"/>
                      <w:highlight w:val="none"/>
                      <w:lang w:val="en-US" w:eastAsia="zh-CN" w:bidi="ar-SA"/>
                    </w:rPr>
                    <w:t>袋式除尘器（</w:t>
                  </w:r>
                  <w:r>
                    <w:rPr>
                      <w:rFonts w:hint="eastAsia" w:ascii="Times New Roman" w:hAnsi="Times New Roman" w:eastAsia="宋体" w:cs="Times New Roman"/>
                      <w:bCs/>
                      <w:kern w:val="2"/>
                      <w:sz w:val="21"/>
                      <w:szCs w:val="21"/>
                      <w:highlight w:val="none"/>
                      <w:lang w:val="en-US" w:eastAsia="zh-CN" w:bidi="ar-SA"/>
                    </w:rPr>
                    <w:t>TA001</w:t>
                  </w:r>
                  <w:r>
                    <w:rPr>
                      <w:rFonts w:hint="default" w:ascii="Times New Roman" w:hAnsi="Times New Roman" w:eastAsia="宋体" w:cs="Times New Roman"/>
                      <w:bCs/>
                      <w:kern w:val="2"/>
                      <w:sz w:val="21"/>
                      <w:szCs w:val="21"/>
                      <w:highlight w:val="none"/>
                      <w:lang w:val="en-US" w:eastAsia="zh-CN" w:bidi="ar-SA"/>
                    </w:rPr>
                    <w:t>）+活性炭吸附</w:t>
                  </w:r>
                  <w:r>
                    <w:rPr>
                      <w:rFonts w:hint="eastAsia" w:ascii="Times New Roman" w:hAnsi="Times New Roman" w:eastAsia="宋体" w:cs="Times New Roman"/>
                      <w:bCs/>
                      <w:kern w:val="2"/>
                      <w:sz w:val="21"/>
                      <w:szCs w:val="21"/>
                      <w:highlight w:val="none"/>
                      <w:lang w:val="en-US" w:eastAsia="zh-CN" w:bidi="ar-SA"/>
                    </w:rPr>
                    <w:t>（TA002）</w:t>
                  </w:r>
                </w:p>
                <w:p w14:paraId="15EB3EE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2"/>
                      <w:sz w:val="21"/>
                      <w:szCs w:val="21"/>
                      <w:highlight w:val="none"/>
                      <w:lang w:val="en-US" w:eastAsia="zh-CN" w:bidi="ar-SA"/>
                    </w:rPr>
                  </w:pPr>
                </w:p>
                <w:p w14:paraId="53CF8C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bidi="ar-SA"/>
                    </w:rPr>
                  </w:pPr>
                </w:p>
              </w:tc>
              <w:tc>
                <w:tcPr>
                  <w:tcW w:w="1224" w:type="dxa"/>
                  <w:vMerge w:val="restart"/>
                  <w:tcBorders>
                    <w:left w:val="single" w:color="auto" w:sz="4" w:space="0"/>
                    <w:tl2br w:val="nil"/>
                    <w:tr2bl w:val="nil"/>
                  </w:tcBorders>
                  <w:vAlign w:val="center"/>
                </w:tcPr>
                <w:p w14:paraId="69A0D2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eastAsia="zh-CN"/>
                    </w:rPr>
                  </w:pPr>
                  <w:r>
                    <w:rPr>
                      <w:rFonts w:hint="default" w:ascii="Times New Roman" w:hAnsi="Times New Roman" w:eastAsia="宋体" w:cs="Times New Roman"/>
                      <w:bCs/>
                      <w:kern w:val="2"/>
                      <w:sz w:val="21"/>
                      <w:szCs w:val="21"/>
                      <w:highlight w:val="none"/>
                      <w:lang w:val="en-US" w:eastAsia="zh-CN" w:bidi="ar-SA"/>
                    </w:rPr>
                    <w:t>集中袋式除尘器（</w:t>
                  </w:r>
                  <w:r>
                    <w:rPr>
                      <w:rFonts w:hint="eastAsia" w:ascii="Times New Roman" w:hAnsi="Times New Roman" w:eastAsia="宋体" w:cs="Times New Roman"/>
                      <w:bCs/>
                      <w:kern w:val="2"/>
                      <w:sz w:val="21"/>
                      <w:szCs w:val="21"/>
                      <w:highlight w:val="none"/>
                      <w:lang w:val="en-US" w:eastAsia="zh-CN" w:bidi="ar-SA"/>
                    </w:rPr>
                    <w:t>TA006</w:t>
                  </w:r>
                  <w:r>
                    <w:rPr>
                      <w:rFonts w:hint="default" w:ascii="Times New Roman" w:hAnsi="Times New Roman" w:eastAsia="宋体" w:cs="Times New Roman"/>
                      <w:bCs/>
                      <w:kern w:val="2"/>
                      <w:sz w:val="21"/>
                      <w:szCs w:val="21"/>
                      <w:highlight w:val="none"/>
                      <w:lang w:val="en-US" w:eastAsia="zh-CN" w:bidi="ar-SA"/>
                    </w:rPr>
                    <w:t>）+15m高排气筒（P1）</w:t>
                  </w:r>
                </w:p>
              </w:tc>
              <w:tc>
                <w:tcPr>
                  <w:tcW w:w="973" w:type="dxa"/>
                  <w:vMerge w:val="restart"/>
                  <w:tcBorders>
                    <w:tl2br w:val="nil"/>
                    <w:tr2bl w:val="nil"/>
                  </w:tcBorders>
                  <w:shd w:val="clear" w:color="auto" w:fill="auto"/>
                  <w:vAlign w:val="center"/>
                </w:tcPr>
                <w:p w14:paraId="07C8E11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2"/>
                      <w:sz w:val="21"/>
                      <w:szCs w:val="21"/>
                      <w:highlight w:val="none"/>
                      <w:lang w:val="en-US" w:eastAsia="zh-CN" w:bidi="ar-SA"/>
                    </w:rPr>
                  </w:pPr>
                  <w:r>
                    <w:rPr>
                      <w:rFonts w:hint="default" w:ascii="Times New Roman" w:hAnsi="Times New Roman" w:eastAsia="宋体" w:cs="Times New Roman"/>
                      <w:bCs/>
                      <w:kern w:val="2"/>
                      <w:sz w:val="21"/>
                      <w:szCs w:val="21"/>
                      <w:highlight w:val="none"/>
                      <w:lang w:val="en-US" w:eastAsia="zh-CN" w:bidi="ar-SA"/>
                    </w:rPr>
                    <w:t>熔炼、浇注相距较近，共用1套除尘器</w:t>
                  </w:r>
                </w:p>
              </w:tc>
            </w:tr>
            <w:tr w14:paraId="31558BE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746" w:type="dxa"/>
                  <w:vMerge w:val="continue"/>
                  <w:tcBorders>
                    <w:tl2br w:val="nil"/>
                    <w:tr2bl w:val="nil"/>
                  </w:tcBorders>
                  <w:vAlign w:val="center"/>
                </w:tcPr>
                <w:p w14:paraId="0731FE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c>
                <w:tcPr>
                  <w:tcW w:w="1692" w:type="dxa"/>
                  <w:tcBorders>
                    <w:top w:val="single" w:color="000000" w:sz="4" w:space="0"/>
                    <w:bottom w:val="single" w:color="000000" w:sz="4" w:space="0"/>
                    <w:tl2br w:val="nil"/>
                    <w:tr2bl w:val="nil"/>
                  </w:tcBorders>
                  <w:vAlign w:val="center"/>
                </w:tcPr>
                <w:p w14:paraId="05FE732C">
                  <w:pPr>
                    <w:pStyle w:val="24"/>
                    <w:keepNext w:val="0"/>
                    <w:keepLines w:val="0"/>
                    <w:pageBreakBefore w:val="0"/>
                    <w:widowControl/>
                    <w:kinsoku/>
                    <w:wordWrap/>
                    <w:overflowPunct/>
                    <w:topLinePunct w:val="0"/>
                    <w:autoSpaceDE/>
                    <w:autoSpaceDN/>
                    <w:bidi w:val="0"/>
                    <w:spacing w:after="0"/>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浇注工序</w:t>
                  </w:r>
                </w:p>
              </w:tc>
              <w:tc>
                <w:tcPr>
                  <w:tcW w:w="1488" w:type="dxa"/>
                  <w:tcBorders>
                    <w:top w:val="single" w:color="000000" w:sz="4" w:space="0"/>
                    <w:bottom w:val="single" w:color="auto" w:sz="4" w:space="0"/>
                    <w:right w:val="single" w:color="auto" w:sz="4" w:space="0"/>
                    <w:tl2br w:val="nil"/>
                    <w:tr2bl w:val="nil"/>
                  </w:tcBorders>
                  <w:shd w:val="clear" w:color="auto" w:fill="auto"/>
                  <w:vAlign w:val="center"/>
                </w:tcPr>
                <w:p w14:paraId="4066F8FF">
                  <w:pPr>
                    <w:keepNext w:val="0"/>
                    <w:keepLines w:val="0"/>
                    <w:pageBreakBefore w:val="0"/>
                    <w:widowControl/>
                    <w:tabs>
                      <w:tab w:val="left" w:pos="1970"/>
                    </w:tabs>
                    <w:kinsoku/>
                    <w:wordWrap/>
                    <w:overflowPunct/>
                    <w:topLinePunct w:val="0"/>
                    <w:autoSpaceDE/>
                    <w:autoSpaceDN/>
                    <w:bidi w:val="0"/>
                    <w:spacing w:after="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袋式除尘器（4#）</w:t>
                  </w:r>
                </w:p>
              </w:tc>
              <w:tc>
                <w:tcPr>
                  <w:tcW w:w="1442" w:type="dxa"/>
                  <w:vMerge w:val="continue"/>
                  <w:tcBorders>
                    <w:left w:val="single" w:color="auto" w:sz="4" w:space="0"/>
                    <w:tl2br w:val="nil"/>
                    <w:tr2bl w:val="nil"/>
                  </w:tcBorders>
                  <w:vAlign w:val="center"/>
                </w:tcPr>
                <w:p w14:paraId="7EA22B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eastAsia="zh-CN"/>
                    </w:rPr>
                  </w:pPr>
                </w:p>
              </w:tc>
              <w:tc>
                <w:tcPr>
                  <w:tcW w:w="1547" w:type="dxa"/>
                  <w:vMerge w:val="continue"/>
                  <w:tcBorders>
                    <w:bottom w:val="single" w:color="000000" w:sz="4" w:space="0"/>
                    <w:right w:val="single" w:color="auto" w:sz="4" w:space="0"/>
                    <w:tl2br w:val="nil"/>
                    <w:tr2bl w:val="nil"/>
                  </w:tcBorders>
                  <w:vAlign w:val="center"/>
                </w:tcPr>
                <w:p w14:paraId="5D200F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bidi="ar-SA"/>
                    </w:rPr>
                  </w:pPr>
                </w:p>
              </w:tc>
              <w:tc>
                <w:tcPr>
                  <w:tcW w:w="1224" w:type="dxa"/>
                  <w:vMerge w:val="continue"/>
                  <w:tcBorders>
                    <w:left w:val="single" w:color="auto" w:sz="4" w:space="0"/>
                    <w:tl2br w:val="nil"/>
                    <w:tr2bl w:val="nil"/>
                  </w:tcBorders>
                  <w:vAlign w:val="center"/>
                </w:tcPr>
                <w:p w14:paraId="046F03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eastAsia="zh-CN"/>
                    </w:rPr>
                  </w:pPr>
                </w:p>
              </w:tc>
              <w:tc>
                <w:tcPr>
                  <w:tcW w:w="973" w:type="dxa"/>
                  <w:vMerge w:val="continue"/>
                  <w:tcBorders>
                    <w:bottom w:val="single" w:color="000000" w:sz="4" w:space="0"/>
                    <w:tl2br w:val="nil"/>
                    <w:tr2bl w:val="nil"/>
                  </w:tcBorders>
                  <w:vAlign w:val="center"/>
                </w:tcPr>
                <w:p w14:paraId="76D8AA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r>
            <w:tr w14:paraId="340010D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0" w:hRule="atLeast"/>
                <w:jc w:val="center"/>
              </w:trPr>
              <w:tc>
                <w:tcPr>
                  <w:tcW w:w="746" w:type="dxa"/>
                  <w:vMerge w:val="continue"/>
                  <w:tcBorders>
                    <w:tl2br w:val="nil"/>
                    <w:tr2bl w:val="nil"/>
                  </w:tcBorders>
                  <w:vAlign w:val="center"/>
                </w:tcPr>
                <w:p w14:paraId="446F3D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c>
                <w:tcPr>
                  <w:tcW w:w="1692" w:type="dxa"/>
                  <w:tcBorders>
                    <w:top w:val="single" w:color="000000" w:sz="4" w:space="0"/>
                    <w:bottom w:val="single" w:color="000000" w:sz="4" w:space="0"/>
                    <w:tl2br w:val="nil"/>
                    <w:tr2bl w:val="nil"/>
                  </w:tcBorders>
                  <w:vAlign w:val="center"/>
                </w:tcPr>
                <w:p w14:paraId="2BD3CE4E">
                  <w:pPr>
                    <w:pStyle w:val="24"/>
                    <w:keepNext w:val="0"/>
                    <w:keepLines w:val="0"/>
                    <w:pageBreakBefore w:val="0"/>
                    <w:widowControl/>
                    <w:kinsoku/>
                    <w:wordWrap/>
                    <w:overflowPunct/>
                    <w:topLinePunct w:val="0"/>
                    <w:autoSpaceDE/>
                    <w:autoSpaceDN/>
                    <w:bidi w:val="0"/>
                    <w:spacing w:after="0"/>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造型制芯</w:t>
                  </w:r>
                </w:p>
              </w:tc>
              <w:tc>
                <w:tcPr>
                  <w:tcW w:w="1488" w:type="dxa"/>
                  <w:tcBorders>
                    <w:top w:val="single" w:color="auto" w:sz="4" w:space="0"/>
                    <w:bottom w:val="single" w:color="000000" w:sz="4" w:space="0"/>
                    <w:right w:val="single" w:color="auto" w:sz="4" w:space="0"/>
                    <w:tl2br w:val="nil"/>
                    <w:tr2bl w:val="nil"/>
                  </w:tcBorders>
                  <w:shd w:val="clear" w:color="auto" w:fill="auto"/>
                  <w:vAlign w:val="center"/>
                </w:tcPr>
                <w:p w14:paraId="242889D4">
                  <w:pPr>
                    <w:keepNext w:val="0"/>
                    <w:keepLines w:val="0"/>
                    <w:pageBreakBefore w:val="0"/>
                    <w:widowControl/>
                    <w:tabs>
                      <w:tab w:val="left" w:pos="1970"/>
                    </w:tabs>
                    <w:kinsoku/>
                    <w:wordWrap/>
                    <w:overflowPunct/>
                    <w:topLinePunct w:val="0"/>
                    <w:autoSpaceDE/>
                    <w:autoSpaceDN/>
                    <w:bidi w:val="0"/>
                    <w:spacing w:after="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袋式除尘器（3#）</w:t>
                  </w:r>
                </w:p>
              </w:tc>
              <w:tc>
                <w:tcPr>
                  <w:tcW w:w="1442" w:type="dxa"/>
                  <w:vMerge w:val="continue"/>
                  <w:tcBorders>
                    <w:left w:val="single" w:color="auto" w:sz="4" w:space="0"/>
                    <w:tl2br w:val="nil"/>
                    <w:tr2bl w:val="nil"/>
                  </w:tcBorders>
                  <w:vAlign w:val="center"/>
                </w:tcPr>
                <w:p w14:paraId="09D3C9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eastAsia="zh-CN"/>
                    </w:rPr>
                  </w:pPr>
                </w:p>
              </w:tc>
              <w:tc>
                <w:tcPr>
                  <w:tcW w:w="1547" w:type="dxa"/>
                  <w:vMerge w:val="restart"/>
                  <w:tcBorders>
                    <w:top w:val="single" w:color="000000" w:sz="4" w:space="0"/>
                    <w:right w:val="single" w:color="auto" w:sz="4" w:space="0"/>
                    <w:tl2br w:val="nil"/>
                    <w:tr2bl w:val="nil"/>
                  </w:tcBorders>
                  <w:shd w:val="clear" w:color="auto" w:fill="auto"/>
                  <w:vAlign w:val="center"/>
                </w:tcPr>
                <w:p w14:paraId="6FD6088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袋式除尘器（</w:t>
                  </w:r>
                  <w:r>
                    <w:rPr>
                      <w:rFonts w:hint="eastAsia" w:ascii="Times New Roman" w:hAnsi="Times New Roman" w:eastAsia="宋体" w:cs="Times New Roman"/>
                      <w:bCs/>
                      <w:color w:val="auto"/>
                      <w:kern w:val="2"/>
                      <w:sz w:val="21"/>
                      <w:szCs w:val="21"/>
                      <w:highlight w:val="none"/>
                      <w:lang w:val="en-US" w:eastAsia="zh-CN" w:bidi="ar-SA"/>
                    </w:rPr>
                    <w:t>TA003</w:t>
                  </w:r>
                  <w:r>
                    <w:rPr>
                      <w:rFonts w:hint="default" w:ascii="Times New Roman" w:hAnsi="Times New Roman" w:eastAsia="宋体" w:cs="Times New Roman"/>
                      <w:bCs/>
                      <w:color w:val="auto"/>
                      <w:kern w:val="2"/>
                      <w:sz w:val="21"/>
                      <w:szCs w:val="21"/>
                      <w:highlight w:val="none"/>
                      <w:lang w:val="en-US" w:eastAsia="zh-CN" w:bidi="ar-SA"/>
                    </w:rPr>
                    <w:t>）</w:t>
                  </w:r>
                </w:p>
                <w:p w14:paraId="1A8B1CF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kern w:val="2"/>
                      <w:sz w:val="21"/>
                      <w:szCs w:val="21"/>
                      <w:highlight w:val="none"/>
                      <w:lang w:val="en-US" w:eastAsia="zh-CN" w:bidi="ar-SA"/>
                    </w:rPr>
                  </w:pPr>
                </w:p>
              </w:tc>
              <w:tc>
                <w:tcPr>
                  <w:tcW w:w="1224" w:type="dxa"/>
                  <w:vMerge w:val="continue"/>
                  <w:tcBorders>
                    <w:left w:val="single" w:color="auto" w:sz="4" w:space="0"/>
                    <w:tl2br w:val="nil"/>
                    <w:tr2bl w:val="nil"/>
                  </w:tcBorders>
                  <w:vAlign w:val="center"/>
                </w:tcPr>
                <w:p w14:paraId="5D2B69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eastAsia="zh-CN"/>
                    </w:rPr>
                  </w:pPr>
                </w:p>
              </w:tc>
              <w:tc>
                <w:tcPr>
                  <w:tcW w:w="973" w:type="dxa"/>
                  <w:vMerge w:val="restart"/>
                  <w:tcBorders>
                    <w:top w:val="single" w:color="000000" w:sz="4" w:space="0"/>
                    <w:tl2br w:val="nil"/>
                    <w:tr2bl w:val="nil"/>
                  </w:tcBorders>
                  <w:shd w:val="clear" w:color="auto" w:fill="auto"/>
                  <w:vAlign w:val="center"/>
                </w:tcPr>
                <w:p w14:paraId="31B99AB2">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造型、混砂相距较近，共用1套除尘器</w:t>
                  </w:r>
                </w:p>
              </w:tc>
            </w:tr>
            <w:tr w14:paraId="0B47E3A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746" w:type="dxa"/>
                  <w:vMerge w:val="continue"/>
                  <w:tcBorders>
                    <w:tl2br w:val="nil"/>
                    <w:tr2bl w:val="nil"/>
                  </w:tcBorders>
                  <w:vAlign w:val="center"/>
                </w:tcPr>
                <w:p w14:paraId="14089F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c>
                <w:tcPr>
                  <w:tcW w:w="1692" w:type="dxa"/>
                  <w:tcBorders>
                    <w:top w:val="single" w:color="000000" w:sz="4" w:space="0"/>
                    <w:tl2br w:val="nil"/>
                    <w:tr2bl w:val="nil"/>
                  </w:tcBorders>
                  <w:vAlign w:val="center"/>
                </w:tcPr>
                <w:p w14:paraId="572F6754">
                  <w:pPr>
                    <w:pStyle w:val="24"/>
                    <w:keepNext w:val="0"/>
                    <w:keepLines w:val="0"/>
                    <w:pageBreakBefore w:val="0"/>
                    <w:widowControl/>
                    <w:kinsoku/>
                    <w:wordWrap/>
                    <w:overflowPunct/>
                    <w:topLinePunct w:val="0"/>
                    <w:autoSpaceDE/>
                    <w:autoSpaceDN/>
                    <w:bidi w:val="0"/>
                    <w:spacing w:after="0"/>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混砂工序</w:t>
                  </w:r>
                </w:p>
              </w:tc>
              <w:tc>
                <w:tcPr>
                  <w:tcW w:w="1488" w:type="dxa"/>
                  <w:tcBorders>
                    <w:top w:val="single" w:color="000000" w:sz="4" w:space="0"/>
                    <w:bottom w:val="single" w:color="000000" w:sz="4" w:space="0"/>
                    <w:right w:val="single" w:color="auto" w:sz="4" w:space="0"/>
                    <w:tl2br w:val="nil"/>
                    <w:tr2bl w:val="nil"/>
                  </w:tcBorders>
                  <w:shd w:val="clear" w:color="auto" w:fill="auto"/>
                  <w:vAlign w:val="center"/>
                </w:tcPr>
                <w:p w14:paraId="20E497E6">
                  <w:pPr>
                    <w:keepNext w:val="0"/>
                    <w:keepLines w:val="0"/>
                    <w:pageBreakBefore w:val="0"/>
                    <w:widowControl/>
                    <w:tabs>
                      <w:tab w:val="left" w:pos="1970"/>
                    </w:tabs>
                    <w:kinsoku/>
                    <w:wordWrap/>
                    <w:overflowPunct/>
                    <w:topLinePunct w:val="0"/>
                    <w:autoSpaceDE/>
                    <w:autoSpaceDN/>
                    <w:bidi w:val="0"/>
                    <w:spacing w:after="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袋式除尘器（5#）</w:t>
                  </w:r>
                </w:p>
              </w:tc>
              <w:tc>
                <w:tcPr>
                  <w:tcW w:w="1442" w:type="dxa"/>
                  <w:vMerge w:val="continue"/>
                  <w:tcBorders>
                    <w:left w:val="single" w:color="auto" w:sz="4" w:space="0"/>
                    <w:tl2br w:val="nil"/>
                    <w:tr2bl w:val="nil"/>
                  </w:tcBorders>
                  <w:vAlign w:val="center"/>
                </w:tcPr>
                <w:p w14:paraId="29E6FE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eastAsia="zh-CN"/>
                    </w:rPr>
                  </w:pPr>
                </w:p>
              </w:tc>
              <w:tc>
                <w:tcPr>
                  <w:tcW w:w="1547" w:type="dxa"/>
                  <w:vMerge w:val="continue"/>
                  <w:tcBorders>
                    <w:bottom w:val="single" w:color="000000" w:sz="4" w:space="0"/>
                    <w:right w:val="single" w:color="auto" w:sz="4" w:space="0"/>
                    <w:tl2br w:val="nil"/>
                    <w:tr2bl w:val="nil"/>
                  </w:tcBorders>
                  <w:vAlign w:val="center"/>
                </w:tcPr>
                <w:p w14:paraId="1756E1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bidi="ar-SA"/>
                    </w:rPr>
                  </w:pPr>
                </w:p>
              </w:tc>
              <w:tc>
                <w:tcPr>
                  <w:tcW w:w="1224" w:type="dxa"/>
                  <w:vMerge w:val="continue"/>
                  <w:tcBorders>
                    <w:left w:val="single" w:color="auto" w:sz="4" w:space="0"/>
                    <w:tl2br w:val="nil"/>
                    <w:tr2bl w:val="nil"/>
                  </w:tcBorders>
                  <w:vAlign w:val="center"/>
                </w:tcPr>
                <w:p w14:paraId="3C8B45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eastAsia="zh-CN"/>
                    </w:rPr>
                  </w:pPr>
                </w:p>
              </w:tc>
              <w:tc>
                <w:tcPr>
                  <w:tcW w:w="973" w:type="dxa"/>
                  <w:vMerge w:val="continue"/>
                  <w:tcBorders>
                    <w:bottom w:val="single" w:color="000000" w:sz="4" w:space="0"/>
                    <w:tl2br w:val="nil"/>
                    <w:tr2bl w:val="nil"/>
                  </w:tcBorders>
                  <w:vAlign w:val="center"/>
                </w:tcPr>
                <w:p w14:paraId="7A1D81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r>
            <w:tr w14:paraId="33C26D5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0" w:hRule="atLeast"/>
                <w:jc w:val="center"/>
              </w:trPr>
              <w:tc>
                <w:tcPr>
                  <w:tcW w:w="746" w:type="dxa"/>
                  <w:vMerge w:val="continue"/>
                  <w:tcBorders>
                    <w:tl2br w:val="nil"/>
                    <w:tr2bl w:val="nil"/>
                  </w:tcBorders>
                  <w:vAlign w:val="center"/>
                </w:tcPr>
                <w:p w14:paraId="2B494B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c>
                <w:tcPr>
                  <w:tcW w:w="1692" w:type="dxa"/>
                  <w:tcBorders>
                    <w:bottom w:val="single" w:color="000000" w:sz="4" w:space="0"/>
                    <w:tl2br w:val="nil"/>
                    <w:tr2bl w:val="nil"/>
                  </w:tcBorders>
                  <w:vAlign w:val="center"/>
                </w:tcPr>
                <w:p w14:paraId="2293185E">
                  <w:pPr>
                    <w:pStyle w:val="24"/>
                    <w:keepNext w:val="0"/>
                    <w:keepLines w:val="0"/>
                    <w:pageBreakBefore w:val="0"/>
                    <w:widowControl/>
                    <w:kinsoku/>
                    <w:wordWrap/>
                    <w:overflowPunct/>
                    <w:topLinePunct w:val="0"/>
                    <w:autoSpaceDE/>
                    <w:autoSpaceDN/>
                    <w:bidi w:val="0"/>
                    <w:spacing w:after="0"/>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落砂、旧砂处理工序</w:t>
                  </w:r>
                </w:p>
              </w:tc>
              <w:tc>
                <w:tcPr>
                  <w:tcW w:w="1488" w:type="dxa"/>
                  <w:tcBorders>
                    <w:top w:val="single" w:color="000000" w:sz="4" w:space="0"/>
                    <w:bottom w:val="single" w:color="000000" w:sz="4" w:space="0"/>
                    <w:right w:val="single" w:color="auto" w:sz="4" w:space="0"/>
                    <w:tl2br w:val="nil"/>
                    <w:tr2bl w:val="nil"/>
                  </w:tcBorders>
                  <w:shd w:val="clear" w:color="auto" w:fill="auto"/>
                  <w:vAlign w:val="center"/>
                </w:tcPr>
                <w:p w14:paraId="27BC7F5E">
                  <w:pPr>
                    <w:keepNext w:val="0"/>
                    <w:keepLines w:val="0"/>
                    <w:pageBreakBefore w:val="0"/>
                    <w:widowControl/>
                    <w:tabs>
                      <w:tab w:val="left" w:pos="1970"/>
                    </w:tabs>
                    <w:kinsoku/>
                    <w:wordWrap/>
                    <w:overflowPunct/>
                    <w:topLinePunct w:val="0"/>
                    <w:autoSpaceDE/>
                    <w:autoSpaceDN/>
                    <w:bidi w:val="0"/>
                    <w:spacing w:after="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袋式除尘器（6#）</w:t>
                  </w:r>
                </w:p>
              </w:tc>
              <w:tc>
                <w:tcPr>
                  <w:tcW w:w="1442" w:type="dxa"/>
                  <w:vMerge w:val="continue"/>
                  <w:tcBorders>
                    <w:left w:val="single" w:color="auto" w:sz="4" w:space="0"/>
                    <w:tl2br w:val="nil"/>
                    <w:tr2bl w:val="nil"/>
                  </w:tcBorders>
                  <w:vAlign w:val="center"/>
                </w:tcPr>
                <w:p w14:paraId="27957C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eastAsia="zh-CN"/>
                    </w:rPr>
                  </w:pPr>
                </w:p>
              </w:tc>
              <w:tc>
                <w:tcPr>
                  <w:tcW w:w="1547" w:type="dxa"/>
                  <w:tcBorders>
                    <w:top w:val="single" w:color="000000" w:sz="4" w:space="0"/>
                    <w:bottom w:val="single" w:color="000000" w:sz="4" w:space="0"/>
                    <w:right w:val="single" w:color="auto" w:sz="4" w:space="0"/>
                    <w:tl2br w:val="nil"/>
                    <w:tr2bl w:val="nil"/>
                  </w:tcBorders>
                  <w:vAlign w:val="center"/>
                </w:tcPr>
                <w:p w14:paraId="1B24A0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bidi="ar-SA"/>
                    </w:rPr>
                  </w:pPr>
                  <w:r>
                    <w:rPr>
                      <w:rFonts w:hint="eastAsia" w:ascii="Times New Roman" w:hAnsi="Times New Roman" w:eastAsia="宋体" w:cs="Times New Roman"/>
                      <w:color w:val="000000"/>
                      <w:kern w:val="0"/>
                      <w:sz w:val="21"/>
                      <w:szCs w:val="21"/>
                      <w:lang w:val="en-US" w:eastAsia="zh-CN" w:bidi="ar-SA"/>
                    </w:rPr>
                    <w:t>未建设</w:t>
                  </w:r>
                </w:p>
              </w:tc>
              <w:tc>
                <w:tcPr>
                  <w:tcW w:w="1224" w:type="dxa"/>
                  <w:vMerge w:val="continue"/>
                  <w:tcBorders>
                    <w:left w:val="single" w:color="auto" w:sz="4" w:space="0"/>
                    <w:tl2br w:val="nil"/>
                    <w:tr2bl w:val="nil"/>
                  </w:tcBorders>
                  <w:vAlign w:val="center"/>
                </w:tcPr>
                <w:p w14:paraId="57C3C6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bidi="ar-SA"/>
                    </w:rPr>
                  </w:pPr>
                </w:p>
              </w:tc>
              <w:tc>
                <w:tcPr>
                  <w:tcW w:w="973" w:type="dxa"/>
                  <w:tcBorders>
                    <w:top w:val="single" w:color="000000" w:sz="4" w:space="0"/>
                    <w:bottom w:val="single" w:color="000000" w:sz="4" w:space="0"/>
                    <w:tl2br w:val="nil"/>
                    <w:tr2bl w:val="nil"/>
                  </w:tcBorders>
                  <w:shd w:val="clear" w:color="auto" w:fill="auto"/>
                  <w:vAlign w:val="center"/>
                </w:tcPr>
                <w:p w14:paraId="0E2FF35E">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二期建设</w:t>
                  </w:r>
                </w:p>
              </w:tc>
            </w:tr>
            <w:tr w14:paraId="5218D35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0" w:hRule="atLeast"/>
                <w:jc w:val="center"/>
              </w:trPr>
              <w:tc>
                <w:tcPr>
                  <w:tcW w:w="746" w:type="dxa"/>
                  <w:vMerge w:val="continue"/>
                  <w:tcBorders>
                    <w:tl2br w:val="nil"/>
                    <w:tr2bl w:val="nil"/>
                  </w:tcBorders>
                  <w:vAlign w:val="center"/>
                </w:tcPr>
                <w:p w14:paraId="4B2D30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c>
                <w:tcPr>
                  <w:tcW w:w="1692" w:type="dxa"/>
                  <w:tcBorders>
                    <w:top w:val="single" w:color="000000" w:sz="4" w:space="0"/>
                    <w:bottom w:val="single" w:color="000000" w:sz="4" w:space="0"/>
                    <w:tl2br w:val="nil"/>
                    <w:tr2bl w:val="nil"/>
                  </w:tcBorders>
                  <w:vAlign w:val="center"/>
                </w:tcPr>
                <w:p w14:paraId="3285825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割冒口工序</w:t>
                  </w:r>
                </w:p>
              </w:tc>
              <w:tc>
                <w:tcPr>
                  <w:tcW w:w="1488" w:type="dxa"/>
                  <w:tcBorders>
                    <w:top w:val="single" w:color="000000" w:sz="4" w:space="0"/>
                    <w:bottom w:val="single" w:color="000000" w:sz="4" w:space="0"/>
                    <w:right w:val="single" w:color="auto" w:sz="4" w:space="0"/>
                    <w:tl2br w:val="nil"/>
                    <w:tr2bl w:val="nil"/>
                  </w:tcBorders>
                  <w:shd w:val="clear" w:color="auto" w:fill="auto"/>
                  <w:vAlign w:val="center"/>
                </w:tcPr>
                <w:p w14:paraId="0739FD4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袋式除尘器（7#）</w:t>
                  </w:r>
                </w:p>
              </w:tc>
              <w:tc>
                <w:tcPr>
                  <w:tcW w:w="1442" w:type="dxa"/>
                  <w:vMerge w:val="continue"/>
                  <w:tcBorders>
                    <w:left w:val="single" w:color="auto" w:sz="4" w:space="0"/>
                    <w:tl2br w:val="nil"/>
                    <w:tr2bl w:val="nil"/>
                  </w:tcBorders>
                  <w:vAlign w:val="center"/>
                </w:tcPr>
                <w:p w14:paraId="5CF014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eastAsia="zh-CN"/>
                    </w:rPr>
                  </w:pPr>
                </w:p>
              </w:tc>
              <w:tc>
                <w:tcPr>
                  <w:tcW w:w="1547" w:type="dxa"/>
                  <w:tcBorders>
                    <w:top w:val="single" w:color="000000" w:sz="4" w:space="0"/>
                    <w:bottom w:val="single" w:color="000000" w:sz="4" w:space="0"/>
                    <w:right w:val="single" w:color="auto" w:sz="4" w:space="0"/>
                    <w:tl2br w:val="nil"/>
                    <w:tr2bl w:val="nil"/>
                  </w:tcBorders>
                  <w:vAlign w:val="center"/>
                </w:tcPr>
                <w:p w14:paraId="09FF45E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袋式除尘器（</w:t>
                  </w:r>
                  <w:r>
                    <w:rPr>
                      <w:rFonts w:hint="eastAsia" w:ascii="Times New Roman" w:hAnsi="Times New Roman" w:eastAsia="宋体" w:cs="Times New Roman"/>
                      <w:bCs/>
                      <w:color w:val="auto"/>
                      <w:kern w:val="2"/>
                      <w:sz w:val="21"/>
                      <w:szCs w:val="21"/>
                      <w:highlight w:val="none"/>
                      <w:lang w:val="en-US" w:eastAsia="zh-CN" w:bidi="ar-SA"/>
                    </w:rPr>
                    <w:t>TA004</w:t>
                  </w:r>
                  <w:r>
                    <w:rPr>
                      <w:rFonts w:hint="default" w:ascii="Times New Roman" w:hAnsi="Times New Roman" w:eastAsia="宋体" w:cs="Times New Roman"/>
                      <w:bCs/>
                      <w:color w:val="auto"/>
                      <w:kern w:val="2"/>
                      <w:sz w:val="21"/>
                      <w:szCs w:val="21"/>
                      <w:highlight w:val="none"/>
                      <w:lang w:val="en-US" w:eastAsia="zh-CN" w:bidi="ar-SA"/>
                    </w:rPr>
                    <w:t>）</w:t>
                  </w:r>
                </w:p>
              </w:tc>
              <w:tc>
                <w:tcPr>
                  <w:tcW w:w="1224" w:type="dxa"/>
                  <w:vMerge w:val="continue"/>
                  <w:tcBorders>
                    <w:left w:val="single" w:color="auto" w:sz="4" w:space="0"/>
                    <w:tl2br w:val="nil"/>
                    <w:tr2bl w:val="nil"/>
                  </w:tcBorders>
                  <w:vAlign w:val="center"/>
                </w:tcPr>
                <w:p w14:paraId="3FAF31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eastAsia="zh-CN"/>
                    </w:rPr>
                  </w:pPr>
                </w:p>
              </w:tc>
              <w:tc>
                <w:tcPr>
                  <w:tcW w:w="973" w:type="dxa"/>
                  <w:tcBorders>
                    <w:top w:val="single" w:color="000000" w:sz="4" w:space="0"/>
                    <w:bottom w:val="single" w:color="000000" w:sz="4" w:space="0"/>
                    <w:tl2br w:val="nil"/>
                    <w:tr2bl w:val="nil"/>
                  </w:tcBorders>
                  <w:shd w:val="clear" w:color="auto" w:fill="auto"/>
                  <w:vAlign w:val="center"/>
                </w:tcPr>
                <w:p w14:paraId="637ED78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未变化</w:t>
                  </w:r>
                </w:p>
              </w:tc>
            </w:tr>
            <w:tr w14:paraId="637332F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0" w:hRule="atLeast"/>
                <w:jc w:val="center"/>
              </w:trPr>
              <w:tc>
                <w:tcPr>
                  <w:tcW w:w="746" w:type="dxa"/>
                  <w:vMerge w:val="continue"/>
                  <w:tcBorders>
                    <w:tl2br w:val="nil"/>
                    <w:tr2bl w:val="nil"/>
                  </w:tcBorders>
                  <w:vAlign w:val="center"/>
                </w:tcPr>
                <w:p w14:paraId="4E9BD2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eastAsia="宋体" w:cs="Times New Roman"/>
                      <w:sz w:val="21"/>
                      <w:szCs w:val="21"/>
                      <w:lang w:val="en-US" w:eastAsia="zh-CN"/>
                    </w:rPr>
                  </w:pPr>
                </w:p>
              </w:tc>
              <w:tc>
                <w:tcPr>
                  <w:tcW w:w="1692" w:type="dxa"/>
                  <w:tcBorders>
                    <w:top w:val="single" w:color="000000" w:sz="4" w:space="0"/>
                    <w:bottom w:val="single" w:color="000000" w:sz="4" w:space="0"/>
                    <w:tl2br w:val="nil"/>
                    <w:tr2bl w:val="nil"/>
                  </w:tcBorders>
                  <w:vAlign w:val="center"/>
                </w:tcPr>
                <w:p w14:paraId="22954C3C">
                  <w:pPr>
                    <w:pStyle w:val="24"/>
                    <w:keepNext w:val="0"/>
                    <w:keepLines w:val="0"/>
                    <w:pageBreakBefore w:val="0"/>
                    <w:widowControl/>
                    <w:kinsoku/>
                    <w:wordWrap/>
                    <w:overflowPunct/>
                    <w:topLinePunct w:val="0"/>
                    <w:autoSpaceDE/>
                    <w:autoSpaceDN/>
                    <w:bidi w:val="0"/>
                    <w:spacing w:after="0"/>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抛丸工序</w:t>
                  </w:r>
                </w:p>
              </w:tc>
              <w:tc>
                <w:tcPr>
                  <w:tcW w:w="1488" w:type="dxa"/>
                  <w:tcBorders>
                    <w:top w:val="single" w:color="000000" w:sz="4" w:space="0"/>
                    <w:bottom w:val="single" w:color="auto" w:sz="4" w:space="0"/>
                    <w:right w:val="single" w:color="auto" w:sz="4" w:space="0"/>
                    <w:tl2br w:val="nil"/>
                    <w:tr2bl w:val="nil"/>
                  </w:tcBorders>
                  <w:shd w:val="clear" w:color="auto" w:fill="auto"/>
                  <w:vAlign w:val="center"/>
                </w:tcPr>
                <w:p w14:paraId="4A31D31A">
                  <w:pPr>
                    <w:keepNext w:val="0"/>
                    <w:keepLines w:val="0"/>
                    <w:pageBreakBefore w:val="0"/>
                    <w:widowControl/>
                    <w:tabs>
                      <w:tab w:val="left" w:pos="1970"/>
                    </w:tabs>
                    <w:kinsoku/>
                    <w:wordWrap/>
                    <w:overflowPunct/>
                    <w:topLinePunct w:val="0"/>
                    <w:autoSpaceDE/>
                    <w:autoSpaceDN/>
                    <w:bidi w:val="0"/>
                    <w:spacing w:after="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脉冲除尘器（8#）</w:t>
                  </w:r>
                </w:p>
              </w:tc>
              <w:tc>
                <w:tcPr>
                  <w:tcW w:w="1442" w:type="dxa"/>
                  <w:vMerge w:val="continue"/>
                  <w:tcBorders>
                    <w:left w:val="single" w:color="auto" w:sz="4" w:space="0"/>
                    <w:bottom w:val="single" w:color="000000" w:sz="4" w:space="0"/>
                    <w:tl2br w:val="nil"/>
                    <w:tr2bl w:val="nil"/>
                  </w:tcBorders>
                  <w:vAlign w:val="center"/>
                </w:tcPr>
                <w:p w14:paraId="54C37F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eastAsia="zh-CN"/>
                    </w:rPr>
                  </w:pPr>
                </w:p>
              </w:tc>
              <w:tc>
                <w:tcPr>
                  <w:tcW w:w="1547" w:type="dxa"/>
                  <w:tcBorders>
                    <w:top w:val="single" w:color="000000" w:sz="4" w:space="0"/>
                    <w:bottom w:val="single" w:color="000000" w:sz="4" w:space="0"/>
                    <w:right w:val="single" w:color="auto" w:sz="4" w:space="0"/>
                    <w:tl2br w:val="nil"/>
                    <w:tr2bl w:val="nil"/>
                  </w:tcBorders>
                  <w:vAlign w:val="center"/>
                </w:tcPr>
                <w:p w14:paraId="2BEBAC3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脉冲除尘器（</w:t>
                  </w:r>
                  <w:r>
                    <w:rPr>
                      <w:rFonts w:hint="eastAsia" w:ascii="Times New Roman" w:hAnsi="Times New Roman" w:eastAsia="宋体" w:cs="Times New Roman"/>
                      <w:bCs/>
                      <w:color w:val="auto"/>
                      <w:kern w:val="2"/>
                      <w:sz w:val="21"/>
                      <w:szCs w:val="21"/>
                      <w:highlight w:val="none"/>
                      <w:lang w:val="en-US" w:eastAsia="zh-CN" w:bidi="ar-SA"/>
                    </w:rPr>
                    <w:t>TA005</w:t>
                  </w:r>
                  <w:r>
                    <w:rPr>
                      <w:rFonts w:hint="default" w:ascii="Times New Roman" w:hAnsi="Times New Roman" w:eastAsia="宋体" w:cs="Times New Roman"/>
                      <w:bCs/>
                      <w:color w:val="auto"/>
                      <w:kern w:val="2"/>
                      <w:sz w:val="21"/>
                      <w:szCs w:val="21"/>
                      <w:highlight w:val="none"/>
                      <w:lang w:val="en-US" w:eastAsia="zh-CN" w:bidi="ar-SA"/>
                    </w:rPr>
                    <w:t>）</w:t>
                  </w:r>
                </w:p>
              </w:tc>
              <w:tc>
                <w:tcPr>
                  <w:tcW w:w="1224" w:type="dxa"/>
                  <w:vMerge w:val="continue"/>
                  <w:tcBorders>
                    <w:left w:val="single" w:color="auto" w:sz="4" w:space="0"/>
                    <w:bottom w:val="single" w:color="000000" w:sz="4" w:space="0"/>
                    <w:tl2br w:val="nil"/>
                    <w:tr2bl w:val="nil"/>
                  </w:tcBorders>
                  <w:vAlign w:val="center"/>
                </w:tcPr>
                <w:p w14:paraId="6AF990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eastAsia="zh-CN"/>
                    </w:rPr>
                  </w:pPr>
                </w:p>
              </w:tc>
              <w:tc>
                <w:tcPr>
                  <w:tcW w:w="973" w:type="dxa"/>
                  <w:tcBorders>
                    <w:top w:val="single" w:color="000000" w:sz="4" w:space="0"/>
                    <w:bottom w:val="single" w:color="000000" w:sz="4" w:space="0"/>
                    <w:tl2br w:val="nil"/>
                    <w:tr2bl w:val="nil"/>
                  </w:tcBorders>
                  <w:shd w:val="clear" w:color="auto" w:fill="auto"/>
                  <w:vAlign w:val="center"/>
                </w:tcPr>
                <w:p w14:paraId="43C48DCF">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未变化</w:t>
                  </w:r>
                </w:p>
              </w:tc>
            </w:tr>
            <w:tr w14:paraId="3ED9BDC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8" w:hRule="atLeast"/>
                <w:jc w:val="center"/>
              </w:trPr>
              <w:tc>
                <w:tcPr>
                  <w:tcW w:w="746" w:type="dxa"/>
                  <w:vMerge w:val="continue"/>
                  <w:tcBorders>
                    <w:tl2br w:val="nil"/>
                    <w:tr2bl w:val="nil"/>
                  </w:tcBorders>
                  <w:vAlign w:val="center"/>
                </w:tcPr>
                <w:p w14:paraId="302464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1692" w:type="dxa"/>
                  <w:tcBorders>
                    <w:tl2br w:val="nil"/>
                    <w:tr2bl w:val="nil"/>
                  </w:tcBorders>
                  <w:vAlign w:val="center"/>
                </w:tcPr>
                <w:p w14:paraId="192B85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eastAsia" w:ascii="Times New Roman" w:hAnsi="Times New Roman" w:eastAsia="宋体" w:cs="Times New Roman"/>
                      <w:color w:val="auto"/>
                      <w:sz w:val="21"/>
                      <w:szCs w:val="21"/>
                      <w:u w:val="none"/>
                      <w:lang w:val="en-US" w:eastAsia="zh-CN"/>
                    </w:rPr>
                    <w:t>生产废水</w:t>
                  </w:r>
                </w:p>
              </w:tc>
              <w:tc>
                <w:tcPr>
                  <w:tcW w:w="2930" w:type="dxa"/>
                  <w:gridSpan w:val="2"/>
                  <w:tcBorders>
                    <w:tl2br w:val="nil"/>
                    <w:tr2bl w:val="nil"/>
                  </w:tcBorders>
                  <w:vAlign w:val="center"/>
                </w:tcPr>
                <w:p w14:paraId="451CFDF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2"/>
                      <w:szCs w:val="21"/>
                      <w:lang w:val="en-US" w:eastAsia="zh-CN" w:bidi="ar-SA"/>
                    </w:rPr>
                  </w:pPr>
                  <w:r>
                    <w:rPr>
                      <w:rFonts w:hint="default" w:ascii="Times New Roman" w:hAnsi="Times New Roman" w:eastAsia="宋体" w:cs="Times New Roman"/>
                      <w:color w:val="auto"/>
                      <w:sz w:val="22"/>
                      <w:szCs w:val="21"/>
                      <w:lang w:val="en-US" w:eastAsia="zh-CN" w:bidi="ar-SA"/>
                    </w:rPr>
                    <w:t>回用于砂处理抑尘、厂区抑尘工序</w:t>
                  </w:r>
                </w:p>
              </w:tc>
              <w:tc>
                <w:tcPr>
                  <w:tcW w:w="2771" w:type="dxa"/>
                  <w:gridSpan w:val="2"/>
                  <w:tcBorders>
                    <w:tl2br w:val="nil"/>
                    <w:tr2bl w:val="nil"/>
                  </w:tcBorders>
                  <w:vAlign w:val="center"/>
                </w:tcPr>
                <w:p w14:paraId="0C19EA9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2"/>
                      <w:szCs w:val="21"/>
                      <w:lang w:val="en-US" w:eastAsia="zh-CN" w:bidi="ar-SA"/>
                    </w:rPr>
                  </w:pPr>
                  <w:r>
                    <w:rPr>
                      <w:rFonts w:hint="default" w:ascii="Times New Roman" w:hAnsi="Times New Roman" w:eastAsia="宋体" w:cs="Times New Roman"/>
                      <w:color w:val="auto"/>
                      <w:sz w:val="22"/>
                      <w:szCs w:val="21"/>
                      <w:lang w:val="en-US" w:eastAsia="zh-CN" w:bidi="ar-SA"/>
                    </w:rPr>
                    <w:t>回用于砂处理抑尘、厂区抑尘工序</w:t>
                  </w:r>
                </w:p>
              </w:tc>
              <w:tc>
                <w:tcPr>
                  <w:tcW w:w="973" w:type="dxa"/>
                  <w:tcBorders>
                    <w:tl2br w:val="nil"/>
                    <w:tr2bl w:val="nil"/>
                  </w:tcBorders>
                  <w:vAlign w:val="center"/>
                </w:tcPr>
                <w:p w14:paraId="267B31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未变化</w:t>
                  </w:r>
                </w:p>
              </w:tc>
            </w:tr>
            <w:tr w14:paraId="1102365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8" w:hRule="atLeast"/>
                <w:jc w:val="center"/>
              </w:trPr>
              <w:tc>
                <w:tcPr>
                  <w:tcW w:w="746" w:type="dxa"/>
                  <w:vMerge w:val="continue"/>
                  <w:tcBorders>
                    <w:tl2br w:val="nil"/>
                    <w:tr2bl w:val="nil"/>
                  </w:tcBorders>
                  <w:vAlign w:val="center"/>
                </w:tcPr>
                <w:p w14:paraId="0B1B7E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1692" w:type="dxa"/>
                  <w:tcBorders>
                    <w:tl2br w:val="nil"/>
                    <w:tr2bl w:val="nil"/>
                  </w:tcBorders>
                  <w:vAlign w:val="center"/>
                </w:tcPr>
                <w:p w14:paraId="79B994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sz w:val="21"/>
                      <w:szCs w:val="21"/>
                      <w:u w:val="none"/>
                      <w:lang w:val="en-US" w:eastAsia="zh-CN"/>
                    </w:rPr>
                    <w:t>生活污水</w:t>
                  </w:r>
                </w:p>
              </w:tc>
              <w:tc>
                <w:tcPr>
                  <w:tcW w:w="2930" w:type="dxa"/>
                  <w:gridSpan w:val="2"/>
                  <w:tcBorders>
                    <w:tl2br w:val="nil"/>
                    <w:tr2bl w:val="nil"/>
                  </w:tcBorders>
                  <w:vAlign w:val="center"/>
                </w:tcPr>
                <w:p w14:paraId="5DAC9B3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2"/>
                      <w:szCs w:val="21"/>
                      <w:lang w:val="en-US" w:eastAsia="zh-CN" w:bidi="ar-SA"/>
                    </w:rPr>
                  </w:pPr>
                  <w:r>
                    <w:rPr>
                      <w:rFonts w:hint="default" w:ascii="Times New Roman" w:hAnsi="Times New Roman" w:eastAsia="宋体" w:cs="Times New Roman"/>
                      <w:color w:val="auto"/>
                      <w:sz w:val="22"/>
                      <w:szCs w:val="21"/>
                      <w:lang w:val="en-US" w:eastAsia="zh-CN" w:bidi="ar-SA"/>
                    </w:rPr>
                    <w:t>生活污水经厂区10m</w:t>
                  </w:r>
                  <w:r>
                    <w:rPr>
                      <w:rFonts w:hint="default" w:ascii="Times New Roman" w:hAnsi="Times New Roman" w:eastAsia="宋体" w:cs="Times New Roman"/>
                      <w:color w:val="auto"/>
                      <w:sz w:val="22"/>
                      <w:szCs w:val="21"/>
                      <w:vertAlign w:val="superscript"/>
                      <w:lang w:val="en-US" w:eastAsia="zh-CN" w:bidi="ar-SA"/>
                    </w:rPr>
                    <w:t>3</w:t>
                  </w:r>
                  <w:r>
                    <w:rPr>
                      <w:rFonts w:hint="default" w:ascii="Times New Roman" w:hAnsi="Times New Roman" w:eastAsia="宋体" w:cs="Times New Roman"/>
                      <w:color w:val="auto"/>
                      <w:sz w:val="22"/>
                      <w:szCs w:val="21"/>
                      <w:lang w:val="en-US" w:eastAsia="zh-CN" w:bidi="ar-SA"/>
                    </w:rPr>
                    <w:t>化粪池处理，排入长垣市第二污水处理厂</w:t>
                  </w:r>
                </w:p>
              </w:tc>
              <w:tc>
                <w:tcPr>
                  <w:tcW w:w="2771" w:type="dxa"/>
                  <w:gridSpan w:val="2"/>
                  <w:tcBorders>
                    <w:tl2br w:val="nil"/>
                    <w:tr2bl w:val="nil"/>
                  </w:tcBorders>
                  <w:vAlign w:val="center"/>
                </w:tcPr>
                <w:p w14:paraId="69F45BF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2"/>
                      <w:szCs w:val="21"/>
                      <w:lang w:val="en-US" w:eastAsia="zh-CN" w:bidi="ar-SA"/>
                    </w:rPr>
                  </w:pPr>
                  <w:r>
                    <w:rPr>
                      <w:rFonts w:hint="default" w:ascii="Times New Roman" w:hAnsi="Times New Roman" w:eastAsia="宋体" w:cs="Times New Roman"/>
                      <w:color w:val="auto"/>
                      <w:sz w:val="22"/>
                      <w:szCs w:val="21"/>
                      <w:lang w:val="en-US" w:eastAsia="zh-CN" w:bidi="ar-SA"/>
                    </w:rPr>
                    <w:t>生活污水经厂区10m</w:t>
                  </w:r>
                  <w:r>
                    <w:rPr>
                      <w:rFonts w:hint="default" w:ascii="Times New Roman" w:hAnsi="Times New Roman" w:eastAsia="宋体" w:cs="Times New Roman"/>
                      <w:color w:val="auto"/>
                      <w:sz w:val="22"/>
                      <w:szCs w:val="21"/>
                      <w:vertAlign w:val="superscript"/>
                      <w:lang w:val="en-US" w:eastAsia="zh-CN" w:bidi="ar-SA"/>
                    </w:rPr>
                    <w:t>3</w:t>
                  </w:r>
                  <w:r>
                    <w:rPr>
                      <w:rFonts w:hint="default" w:ascii="Times New Roman" w:hAnsi="Times New Roman" w:eastAsia="宋体" w:cs="Times New Roman"/>
                      <w:color w:val="auto"/>
                      <w:sz w:val="22"/>
                      <w:szCs w:val="21"/>
                      <w:lang w:val="en-US" w:eastAsia="zh-CN" w:bidi="ar-SA"/>
                    </w:rPr>
                    <w:t>化粪池处理，排入长垣市第二污水处理厂</w:t>
                  </w:r>
                </w:p>
              </w:tc>
              <w:tc>
                <w:tcPr>
                  <w:tcW w:w="973" w:type="dxa"/>
                  <w:tcBorders>
                    <w:tl2br w:val="nil"/>
                    <w:tr2bl w:val="nil"/>
                  </w:tcBorders>
                  <w:vAlign w:val="center"/>
                </w:tcPr>
                <w:p w14:paraId="295DC8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未变化</w:t>
                  </w:r>
                </w:p>
              </w:tc>
            </w:tr>
            <w:tr w14:paraId="259ED0F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2" w:hRule="atLeast"/>
                <w:jc w:val="center"/>
              </w:trPr>
              <w:tc>
                <w:tcPr>
                  <w:tcW w:w="746" w:type="dxa"/>
                  <w:vMerge w:val="continue"/>
                  <w:tcBorders>
                    <w:tl2br w:val="nil"/>
                    <w:tr2bl w:val="nil"/>
                  </w:tcBorders>
                  <w:vAlign w:val="center"/>
                </w:tcPr>
                <w:p w14:paraId="162340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1692" w:type="dxa"/>
                  <w:tcBorders>
                    <w:bottom w:val="single" w:color="auto" w:sz="4" w:space="0"/>
                    <w:tl2br w:val="nil"/>
                    <w:tr2bl w:val="nil"/>
                  </w:tcBorders>
                  <w:vAlign w:val="center"/>
                </w:tcPr>
                <w:p w14:paraId="63B9B7E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Times New Roman" w:cs="Times New Roman"/>
                      <w:color w:val="000000"/>
                      <w:sz w:val="22"/>
                      <w:szCs w:val="21"/>
                      <w:lang w:val="en-US" w:eastAsia="zh-CN" w:bidi="ar-SA"/>
                    </w:rPr>
                  </w:pPr>
                  <w:r>
                    <w:rPr>
                      <w:rFonts w:hint="default" w:ascii="Times New Roman" w:hAnsi="Times New Roman" w:eastAsia="Times New Roman" w:cs="Times New Roman"/>
                      <w:color w:val="000000"/>
                      <w:sz w:val="22"/>
                      <w:szCs w:val="21"/>
                      <w:lang w:val="en-US" w:eastAsia="zh-CN" w:bidi="ar-SA"/>
                    </w:rPr>
                    <w:t>一般固废</w:t>
                  </w:r>
                </w:p>
              </w:tc>
              <w:tc>
                <w:tcPr>
                  <w:tcW w:w="2930" w:type="dxa"/>
                  <w:gridSpan w:val="2"/>
                  <w:tcBorders>
                    <w:bottom w:val="single" w:color="auto" w:sz="4" w:space="0"/>
                    <w:tl2br w:val="nil"/>
                    <w:tr2bl w:val="nil"/>
                  </w:tcBorders>
                  <w:vAlign w:val="center"/>
                </w:tcPr>
                <w:p w14:paraId="291B87E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 w:val="22"/>
                      <w:szCs w:val="21"/>
                      <w:lang w:val="en-US" w:eastAsia="zh-CN" w:bidi="ar-SA"/>
                    </w:rPr>
                    <w:t>设置</w:t>
                  </w:r>
                  <w:r>
                    <w:rPr>
                      <w:rFonts w:hint="default" w:ascii="Times New Roman" w:hAnsi="Times New Roman" w:eastAsia="宋体" w:cs="Times New Roman"/>
                      <w:color w:val="auto"/>
                      <w:sz w:val="22"/>
                      <w:szCs w:val="21"/>
                      <w:lang w:val="en-US" w:eastAsia="zh-CN" w:bidi="ar-SA"/>
                    </w:rPr>
                    <w:t>一般固废</w:t>
                  </w:r>
                  <w:r>
                    <w:rPr>
                      <w:rFonts w:hint="eastAsia" w:ascii="Times New Roman" w:hAnsi="Times New Roman" w:eastAsia="宋体" w:cs="Times New Roman"/>
                      <w:color w:val="auto"/>
                      <w:sz w:val="22"/>
                      <w:szCs w:val="21"/>
                      <w:lang w:val="en-US" w:eastAsia="zh-CN" w:bidi="ar-SA"/>
                    </w:rPr>
                    <w:t>区6</w:t>
                  </w:r>
                  <w:r>
                    <w:rPr>
                      <w:rFonts w:hint="default" w:ascii="Times New Roman" w:hAnsi="Times New Roman" w:eastAsia="宋体" w:cs="Times New Roman"/>
                      <w:color w:val="auto"/>
                      <w:sz w:val="22"/>
                      <w:szCs w:val="21"/>
                      <w:lang w:val="en-US" w:eastAsia="zh-CN" w:bidi="ar-SA"/>
                    </w:rPr>
                    <w:t>0m</w:t>
                  </w:r>
                  <w:r>
                    <w:rPr>
                      <w:rFonts w:hint="default" w:ascii="Times New Roman" w:hAnsi="Times New Roman" w:eastAsia="宋体" w:cs="Times New Roman"/>
                      <w:color w:val="auto"/>
                      <w:sz w:val="22"/>
                      <w:szCs w:val="21"/>
                      <w:vertAlign w:val="superscript"/>
                      <w:lang w:val="en-US" w:eastAsia="zh-CN" w:bidi="ar-SA"/>
                    </w:rPr>
                    <w:t>2</w:t>
                  </w:r>
                  <w:r>
                    <w:rPr>
                      <w:rFonts w:hint="default" w:ascii="Times New Roman" w:hAnsi="Times New Roman" w:eastAsia="宋体" w:cs="Times New Roman"/>
                      <w:color w:val="auto"/>
                      <w:sz w:val="22"/>
                      <w:szCs w:val="21"/>
                      <w:lang w:val="en-US" w:eastAsia="zh-CN" w:bidi="ar-SA"/>
                    </w:rPr>
                    <w:t>，</w:t>
                  </w:r>
                  <w:r>
                    <w:rPr>
                      <w:rFonts w:hint="eastAsia" w:ascii="Times New Roman" w:hAnsi="Times New Roman" w:eastAsia="宋体" w:cs="Times New Roman"/>
                      <w:color w:val="auto"/>
                      <w:sz w:val="22"/>
                      <w:szCs w:val="21"/>
                      <w:lang w:val="en-US" w:eastAsia="zh-CN" w:bidi="ar-SA"/>
                    </w:rPr>
                    <w:t>收集后妥善处理</w:t>
                  </w:r>
                </w:p>
              </w:tc>
              <w:tc>
                <w:tcPr>
                  <w:tcW w:w="2771" w:type="dxa"/>
                  <w:gridSpan w:val="2"/>
                  <w:tcBorders>
                    <w:bottom w:val="single" w:color="auto" w:sz="4" w:space="0"/>
                    <w:tl2br w:val="nil"/>
                    <w:tr2bl w:val="nil"/>
                  </w:tcBorders>
                  <w:vAlign w:val="center"/>
                </w:tcPr>
                <w:p w14:paraId="35D040B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 w:val="22"/>
                      <w:szCs w:val="21"/>
                      <w:lang w:val="en-US" w:eastAsia="zh-CN" w:bidi="ar-SA"/>
                    </w:rPr>
                    <w:t>设置</w:t>
                  </w:r>
                  <w:r>
                    <w:rPr>
                      <w:rFonts w:hint="default" w:ascii="Times New Roman" w:hAnsi="Times New Roman" w:eastAsia="宋体" w:cs="Times New Roman"/>
                      <w:color w:val="auto"/>
                      <w:sz w:val="22"/>
                      <w:szCs w:val="21"/>
                      <w:lang w:val="en-US" w:eastAsia="zh-CN" w:bidi="ar-SA"/>
                    </w:rPr>
                    <w:t>一般固废</w:t>
                  </w:r>
                  <w:r>
                    <w:rPr>
                      <w:rFonts w:hint="eastAsia" w:ascii="Times New Roman" w:hAnsi="Times New Roman" w:eastAsia="宋体" w:cs="Times New Roman"/>
                      <w:color w:val="auto"/>
                      <w:sz w:val="22"/>
                      <w:szCs w:val="21"/>
                      <w:lang w:val="en-US" w:eastAsia="zh-CN" w:bidi="ar-SA"/>
                    </w:rPr>
                    <w:t>区6</w:t>
                  </w:r>
                  <w:r>
                    <w:rPr>
                      <w:rFonts w:hint="default" w:ascii="Times New Roman" w:hAnsi="Times New Roman" w:eastAsia="宋体" w:cs="Times New Roman"/>
                      <w:color w:val="auto"/>
                      <w:sz w:val="22"/>
                      <w:szCs w:val="21"/>
                      <w:lang w:val="en-US" w:eastAsia="zh-CN" w:bidi="ar-SA"/>
                    </w:rPr>
                    <w:t>0m</w:t>
                  </w:r>
                  <w:r>
                    <w:rPr>
                      <w:rFonts w:hint="default" w:ascii="Times New Roman" w:hAnsi="Times New Roman" w:eastAsia="宋体" w:cs="Times New Roman"/>
                      <w:color w:val="auto"/>
                      <w:sz w:val="22"/>
                      <w:szCs w:val="21"/>
                      <w:vertAlign w:val="superscript"/>
                      <w:lang w:val="en-US" w:eastAsia="zh-CN" w:bidi="ar-SA"/>
                    </w:rPr>
                    <w:t>2</w:t>
                  </w:r>
                  <w:r>
                    <w:rPr>
                      <w:rFonts w:hint="default" w:ascii="Times New Roman" w:hAnsi="Times New Roman" w:eastAsia="宋体" w:cs="Times New Roman"/>
                      <w:color w:val="auto"/>
                      <w:sz w:val="22"/>
                      <w:szCs w:val="21"/>
                      <w:lang w:val="en-US" w:eastAsia="zh-CN" w:bidi="ar-SA"/>
                    </w:rPr>
                    <w:t>，</w:t>
                  </w:r>
                  <w:r>
                    <w:rPr>
                      <w:rFonts w:hint="eastAsia" w:ascii="Times New Roman" w:hAnsi="Times New Roman" w:eastAsia="宋体" w:cs="Times New Roman"/>
                      <w:color w:val="auto"/>
                      <w:sz w:val="22"/>
                      <w:szCs w:val="21"/>
                      <w:lang w:val="en-US" w:eastAsia="zh-CN" w:bidi="ar-SA"/>
                    </w:rPr>
                    <w:t>收集后妥善处理</w:t>
                  </w:r>
                </w:p>
              </w:tc>
              <w:tc>
                <w:tcPr>
                  <w:tcW w:w="973" w:type="dxa"/>
                  <w:tcBorders>
                    <w:bottom w:val="single" w:color="auto" w:sz="4" w:space="0"/>
                    <w:tl2br w:val="nil"/>
                    <w:tr2bl w:val="nil"/>
                  </w:tcBorders>
                  <w:vAlign w:val="center"/>
                </w:tcPr>
                <w:p w14:paraId="083AF6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未变化</w:t>
                  </w:r>
                </w:p>
              </w:tc>
            </w:tr>
            <w:tr w14:paraId="33A88C5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47" w:hRule="atLeast"/>
                <w:jc w:val="center"/>
              </w:trPr>
              <w:tc>
                <w:tcPr>
                  <w:tcW w:w="746" w:type="dxa"/>
                  <w:vMerge w:val="continue"/>
                  <w:tcBorders>
                    <w:tl2br w:val="nil"/>
                    <w:tr2bl w:val="nil"/>
                  </w:tcBorders>
                  <w:vAlign w:val="center"/>
                </w:tcPr>
                <w:p w14:paraId="1BEB5E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1692" w:type="dxa"/>
                  <w:tcBorders>
                    <w:top w:val="single" w:color="auto" w:sz="4" w:space="0"/>
                    <w:tl2br w:val="nil"/>
                    <w:tr2bl w:val="nil"/>
                  </w:tcBorders>
                  <w:vAlign w:val="center"/>
                </w:tcPr>
                <w:p w14:paraId="170378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Times New Roman" w:cs="Times New Roman"/>
                      <w:color w:val="000000"/>
                      <w:sz w:val="22"/>
                      <w:szCs w:val="21"/>
                      <w:lang w:val="en-US" w:eastAsia="zh-CN" w:bidi="ar-SA"/>
                    </w:rPr>
                  </w:pPr>
                  <w:r>
                    <w:rPr>
                      <w:rFonts w:hint="eastAsia" w:ascii="Times New Roman" w:hAnsi="Times New Roman" w:eastAsia="Times New Roman" w:cs="Times New Roman"/>
                      <w:color w:val="000000"/>
                      <w:sz w:val="22"/>
                      <w:szCs w:val="21"/>
                      <w:lang w:val="en-US" w:eastAsia="zh-CN" w:bidi="ar-SA"/>
                    </w:rPr>
                    <w:t>危险废物</w:t>
                  </w:r>
                </w:p>
              </w:tc>
              <w:tc>
                <w:tcPr>
                  <w:tcW w:w="2930" w:type="dxa"/>
                  <w:gridSpan w:val="2"/>
                  <w:tcBorders>
                    <w:top w:val="single" w:color="auto" w:sz="4" w:space="0"/>
                    <w:tl2br w:val="nil"/>
                    <w:tr2bl w:val="nil"/>
                  </w:tcBorders>
                  <w:vAlign w:val="center"/>
                </w:tcPr>
                <w:p w14:paraId="2CE82C5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 w:val="22"/>
                      <w:szCs w:val="21"/>
                      <w:lang w:val="en-US" w:eastAsia="zh-CN" w:bidi="ar-SA"/>
                    </w:rPr>
                    <w:t>设置危险废物暂存间15</w:t>
                  </w:r>
                  <w:r>
                    <w:rPr>
                      <w:rFonts w:hint="default" w:ascii="Times New Roman" w:hAnsi="Times New Roman" w:eastAsia="宋体" w:cs="Times New Roman"/>
                      <w:color w:val="auto"/>
                      <w:sz w:val="22"/>
                      <w:szCs w:val="21"/>
                      <w:lang w:val="en-US" w:eastAsia="zh-CN" w:bidi="ar-SA"/>
                    </w:rPr>
                    <w:t>m</w:t>
                  </w:r>
                  <w:r>
                    <w:rPr>
                      <w:rFonts w:hint="default" w:ascii="Times New Roman" w:hAnsi="Times New Roman" w:eastAsia="宋体" w:cs="Times New Roman"/>
                      <w:color w:val="auto"/>
                      <w:sz w:val="22"/>
                      <w:szCs w:val="21"/>
                      <w:vertAlign w:val="superscript"/>
                      <w:lang w:val="en-US" w:eastAsia="zh-CN" w:bidi="ar-SA"/>
                    </w:rPr>
                    <w:t>2</w:t>
                  </w:r>
                  <w:r>
                    <w:rPr>
                      <w:rFonts w:hint="eastAsia" w:ascii="Times New Roman" w:hAnsi="Times New Roman" w:eastAsia="宋体" w:cs="Times New Roman"/>
                      <w:color w:val="auto"/>
                      <w:sz w:val="22"/>
                      <w:szCs w:val="21"/>
                      <w:lang w:val="en-US" w:eastAsia="zh-CN" w:bidi="ar-SA"/>
                    </w:rPr>
                    <w:t>，定期委托有资质单位处置</w:t>
                  </w:r>
                </w:p>
              </w:tc>
              <w:tc>
                <w:tcPr>
                  <w:tcW w:w="2771" w:type="dxa"/>
                  <w:gridSpan w:val="2"/>
                  <w:tcBorders>
                    <w:top w:val="single" w:color="auto" w:sz="4" w:space="0"/>
                    <w:tl2br w:val="nil"/>
                    <w:tr2bl w:val="nil"/>
                  </w:tcBorders>
                  <w:vAlign w:val="center"/>
                </w:tcPr>
                <w:p w14:paraId="59A5656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 w:val="22"/>
                      <w:szCs w:val="21"/>
                      <w:lang w:val="en-US" w:eastAsia="zh-CN" w:bidi="ar-SA"/>
                    </w:rPr>
                    <w:t>设置危险废物暂存间15</w:t>
                  </w:r>
                  <w:r>
                    <w:rPr>
                      <w:rFonts w:hint="default" w:ascii="Times New Roman" w:hAnsi="Times New Roman" w:eastAsia="宋体" w:cs="Times New Roman"/>
                      <w:color w:val="auto"/>
                      <w:sz w:val="22"/>
                      <w:szCs w:val="21"/>
                      <w:lang w:val="en-US" w:eastAsia="zh-CN" w:bidi="ar-SA"/>
                    </w:rPr>
                    <w:t>m</w:t>
                  </w:r>
                  <w:r>
                    <w:rPr>
                      <w:rFonts w:hint="default" w:ascii="Times New Roman" w:hAnsi="Times New Roman" w:eastAsia="宋体" w:cs="Times New Roman"/>
                      <w:color w:val="auto"/>
                      <w:sz w:val="22"/>
                      <w:szCs w:val="21"/>
                      <w:vertAlign w:val="superscript"/>
                      <w:lang w:val="en-US" w:eastAsia="zh-CN" w:bidi="ar-SA"/>
                    </w:rPr>
                    <w:t>2</w:t>
                  </w:r>
                  <w:r>
                    <w:rPr>
                      <w:rFonts w:hint="eastAsia" w:ascii="Times New Roman" w:hAnsi="Times New Roman" w:eastAsia="宋体" w:cs="Times New Roman"/>
                      <w:color w:val="auto"/>
                      <w:sz w:val="22"/>
                      <w:szCs w:val="21"/>
                      <w:lang w:val="en-US" w:eastAsia="zh-CN" w:bidi="ar-SA"/>
                    </w:rPr>
                    <w:t>，定期委托有资质单位处置</w:t>
                  </w:r>
                </w:p>
              </w:tc>
              <w:tc>
                <w:tcPr>
                  <w:tcW w:w="973" w:type="dxa"/>
                  <w:tcBorders>
                    <w:top w:val="single" w:color="auto" w:sz="4" w:space="0"/>
                    <w:tl2br w:val="nil"/>
                    <w:tr2bl w:val="nil"/>
                  </w:tcBorders>
                  <w:vAlign w:val="center"/>
                </w:tcPr>
                <w:p w14:paraId="7EB77C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未变化</w:t>
                  </w:r>
                </w:p>
              </w:tc>
            </w:tr>
            <w:tr w14:paraId="1F6B81F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7" w:hRule="atLeast"/>
                <w:jc w:val="center"/>
              </w:trPr>
              <w:tc>
                <w:tcPr>
                  <w:tcW w:w="746" w:type="dxa"/>
                  <w:vMerge w:val="continue"/>
                  <w:tcBorders>
                    <w:bottom w:val="single" w:color="auto" w:sz="4" w:space="0"/>
                    <w:tl2br w:val="nil"/>
                    <w:tr2bl w:val="nil"/>
                  </w:tcBorders>
                  <w:vAlign w:val="center"/>
                </w:tcPr>
                <w:p w14:paraId="2C86AB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1692" w:type="dxa"/>
                  <w:tcBorders>
                    <w:top w:val="single" w:color="auto" w:sz="4" w:space="0"/>
                    <w:tl2br w:val="nil"/>
                    <w:tr2bl w:val="nil"/>
                  </w:tcBorders>
                  <w:vAlign w:val="center"/>
                </w:tcPr>
                <w:p w14:paraId="2793095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Times New Roman" w:cs="Times New Roman"/>
                      <w:color w:val="000000"/>
                      <w:sz w:val="22"/>
                      <w:szCs w:val="21"/>
                      <w:lang w:val="en-US" w:eastAsia="zh-CN" w:bidi="ar-SA"/>
                    </w:rPr>
                  </w:pPr>
                  <w:r>
                    <w:rPr>
                      <w:rFonts w:hint="default" w:ascii="Times New Roman" w:hAnsi="Times New Roman" w:eastAsia="Times New Roman" w:cs="Times New Roman"/>
                      <w:color w:val="000000"/>
                      <w:sz w:val="22"/>
                      <w:szCs w:val="21"/>
                      <w:lang w:val="en-US" w:eastAsia="zh-CN" w:bidi="ar-SA"/>
                    </w:rPr>
                    <w:t>生活垃圾</w:t>
                  </w:r>
                </w:p>
              </w:tc>
              <w:tc>
                <w:tcPr>
                  <w:tcW w:w="2930" w:type="dxa"/>
                  <w:gridSpan w:val="2"/>
                  <w:tcBorders>
                    <w:top w:val="single" w:color="auto" w:sz="4" w:space="0"/>
                    <w:tl2br w:val="nil"/>
                    <w:tr2bl w:val="nil"/>
                  </w:tcBorders>
                  <w:vAlign w:val="center"/>
                </w:tcPr>
                <w:p w14:paraId="3B49FD3A">
                  <w:pPr>
                    <w:pStyle w:val="24"/>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color w:val="000000"/>
                      <w:kern w:val="0"/>
                      <w:sz w:val="22"/>
                      <w:szCs w:val="21"/>
                      <w:lang w:val="en-US" w:eastAsia="zh-CN" w:bidi="ar-SA"/>
                    </w:rPr>
                  </w:pPr>
                  <w:r>
                    <w:rPr>
                      <w:rFonts w:hint="default" w:ascii="Times New Roman" w:hAnsi="Times New Roman" w:eastAsia="宋体" w:cs="Times New Roman"/>
                    </w:rPr>
                    <w:t>设垃圾桶集中收集，定期委托环卫部门进行处理</w:t>
                  </w:r>
                </w:p>
              </w:tc>
              <w:tc>
                <w:tcPr>
                  <w:tcW w:w="2771" w:type="dxa"/>
                  <w:gridSpan w:val="2"/>
                  <w:tcBorders>
                    <w:top w:val="single" w:color="auto" w:sz="4" w:space="0"/>
                    <w:tl2br w:val="nil"/>
                    <w:tr2bl w:val="nil"/>
                  </w:tcBorders>
                  <w:vAlign w:val="center"/>
                </w:tcPr>
                <w:p w14:paraId="185338A1">
                  <w:pPr>
                    <w:pStyle w:val="24"/>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cs="Times New Roman"/>
                    </w:rPr>
                  </w:pPr>
                  <w:r>
                    <w:rPr>
                      <w:rFonts w:hint="default" w:ascii="Times New Roman" w:hAnsi="Times New Roman" w:eastAsia="宋体" w:cs="Times New Roman"/>
                    </w:rPr>
                    <w:t>设垃圾桶集中收集，定期委托环卫部门进行处理</w:t>
                  </w:r>
                </w:p>
              </w:tc>
              <w:tc>
                <w:tcPr>
                  <w:tcW w:w="973" w:type="dxa"/>
                  <w:tcBorders>
                    <w:top w:val="single" w:color="auto" w:sz="4" w:space="0"/>
                    <w:tl2br w:val="nil"/>
                    <w:tr2bl w:val="nil"/>
                  </w:tcBorders>
                  <w:vAlign w:val="center"/>
                </w:tcPr>
                <w:p w14:paraId="115DDA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未变化</w:t>
                  </w:r>
                </w:p>
              </w:tc>
            </w:tr>
            <w:tr w14:paraId="370D9E3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5" w:hRule="atLeast"/>
                <w:jc w:val="center"/>
              </w:trPr>
              <w:tc>
                <w:tcPr>
                  <w:tcW w:w="746" w:type="dxa"/>
                  <w:vMerge w:val="restart"/>
                  <w:tcBorders>
                    <w:top w:val="single" w:color="auto" w:sz="4" w:space="0"/>
                    <w:bottom w:val="single" w:color="auto" w:sz="4" w:space="0"/>
                    <w:tl2br w:val="nil"/>
                    <w:tr2bl w:val="nil"/>
                  </w:tcBorders>
                  <w:vAlign w:val="center"/>
                </w:tcPr>
                <w:p w14:paraId="6A5B13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公用工程</w:t>
                  </w:r>
                </w:p>
              </w:tc>
              <w:tc>
                <w:tcPr>
                  <w:tcW w:w="1692" w:type="dxa"/>
                  <w:tcBorders>
                    <w:tl2br w:val="nil"/>
                    <w:tr2bl w:val="nil"/>
                  </w:tcBorders>
                  <w:vAlign w:val="center"/>
                </w:tcPr>
                <w:p w14:paraId="51EF4C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给水</w:t>
                  </w:r>
                </w:p>
              </w:tc>
              <w:tc>
                <w:tcPr>
                  <w:tcW w:w="2930" w:type="dxa"/>
                  <w:gridSpan w:val="2"/>
                  <w:tcBorders>
                    <w:tl2br w:val="nil"/>
                    <w:tr2bl w:val="nil"/>
                  </w:tcBorders>
                  <w:vAlign w:val="center"/>
                </w:tcPr>
                <w:p w14:paraId="6BA3BB20">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highlight w:val="none"/>
                    </w:rPr>
                    <w:t>自来水管网</w:t>
                  </w:r>
                </w:p>
              </w:tc>
              <w:tc>
                <w:tcPr>
                  <w:tcW w:w="2771" w:type="dxa"/>
                  <w:gridSpan w:val="2"/>
                  <w:tcBorders>
                    <w:tl2br w:val="nil"/>
                    <w:tr2bl w:val="nil"/>
                  </w:tcBorders>
                  <w:vAlign w:val="center"/>
                </w:tcPr>
                <w:p w14:paraId="6461EDCC">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highlight w:val="none"/>
                    </w:rPr>
                    <w:t>自来水管网</w:t>
                  </w:r>
                </w:p>
              </w:tc>
              <w:tc>
                <w:tcPr>
                  <w:tcW w:w="973" w:type="dxa"/>
                  <w:tcBorders>
                    <w:tl2br w:val="nil"/>
                    <w:tr2bl w:val="nil"/>
                  </w:tcBorders>
                  <w:vAlign w:val="center"/>
                </w:tcPr>
                <w:p w14:paraId="459001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r w14:paraId="76B37B0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70" w:hRule="atLeast"/>
                <w:jc w:val="center"/>
              </w:trPr>
              <w:tc>
                <w:tcPr>
                  <w:tcW w:w="746" w:type="dxa"/>
                  <w:vMerge w:val="continue"/>
                  <w:tcBorders>
                    <w:top w:val="single" w:color="auto" w:sz="4" w:space="0"/>
                    <w:bottom w:val="single" w:color="auto" w:sz="4" w:space="0"/>
                    <w:tl2br w:val="nil"/>
                    <w:tr2bl w:val="nil"/>
                  </w:tcBorders>
                  <w:vAlign w:val="center"/>
                </w:tcPr>
                <w:p w14:paraId="72AE40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p>
              </w:tc>
              <w:tc>
                <w:tcPr>
                  <w:tcW w:w="1692" w:type="dxa"/>
                  <w:tcBorders>
                    <w:tl2br w:val="nil"/>
                    <w:tr2bl w:val="nil"/>
                  </w:tcBorders>
                  <w:vAlign w:val="center"/>
                </w:tcPr>
                <w:p w14:paraId="218567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供电</w:t>
                  </w:r>
                </w:p>
              </w:tc>
              <w:tc>
                <w:tcPr>
                  <w:tcW w:w="2930" w:type="dxa"/>
                  <w:gridSpan w:val="2"/>
                  <w:tcBorders>
                    <w:tl2br w:val="nil"/>
                    <w:tr2bl w:val="nil"/>
                  </w:tcBorders>
                  <w:vAlign w:val="center"/>
                </w:tcPr>
                <w:p w14:paraId="007B8CCD">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依托电网</w:t>
                  </w:r>
                </w:p>
              </w:tc>
              <w:tc>
                <w:tcPr>
                  <w:tcW w:w="2771" w:type="dxa"/>
                  <w:gridSpan w:val="2"/>
                  <w:tcBorders>
                    <w:tl2br w:val="nil"/>
                    <w:tr2bl w:val="nil"/>
                  </w:tcBorders>
                  <w:vAlign w:val="center"/>
                </w:tcPr>
                <w:p w14:paraId="178EBC44">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依托电网</w:t>
                  </w:r>
                </w:p>
              </w:tc>
              <w:tc>
                <w:tcPr>
                  <w:tcW w:w="973" w:type="dxa"/>
                  <w:tcBorders>
                    <w:tl2br w:val="nil"/>
                    <w:tr2bl w:val="nil"/>
                  </w:tcBorders>
                  <w:vAlign w:val="center"/>
                </w:tcPr>
                <w:p w14:paraId="1F6298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r>
          </w:tbl>
          <w:p w14:paraId="06138E27">
            <w:pPr>
              <w:keepNext w:val="0"/>
              <w:keepLines w:val="0"/>
              <w:pageBreakBefore w:val="0"/>
              <w:widowControl/>
              <w:kinsoku/>
              <w:wordWrap/>
              <w:overflowPunct/>
              <w:topLinePunct w:val="0"/>
              <w:autoSpaceDE/>
              <w:autoSpaceDN/>
              <w:bidi w:val="0"/>
              <w:adjustRightInd/>
              <w:snapToGrid/>
              <w:spacing w:after="0" w:afterLines="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4 </w:t>
            </w:r>
            <w:r>
              <w:rPr>
                <w:rFonts w:hint="eastAsia" w:ascii="Times New Roman" w:hAnsi="Times New Roman" w:cs="Times New Roman" w:eastAsiaTheme="minorEastAsia"/>
                <w:b/>
                <w:bCs/>
                <w:color w:val="auto"/>
                <w:kern w:val="2"/>
                <w:sz w:val="24"/>
                <w:szCs w:val="24"/>
                <w:highlight w:val="none"/>
                <w:lang w:val="en-US" w:eastAsia="zh-CN" w:bidi="ar-SA"/>
              </w:rPr>
              <w:t xml:space="preserve">  </w:t>
            </w:r>
            <w:r>
              <w:rPr>
                <w:rFonts w:hint="default" w:ascii="Times New Roman" w:hAnsi="Times New Roman" w:cs="Times New Roman" w:eastAsiaTheme="minorEastAsia"/>
                <w:b/>
                <w:bCs/>
                <w:color w:val="auto"/>
                <w:kern w:val="2"/>
                <w:sz w:val="24"/>
                <w:szCs w:val="24"/>
                <w:highlight w:val="none"/>
                <w:lang w:val="en-US" w:eastAsia="zh-CN" w:bidi="ar-SA"/>
              </w:rPr>
              <w:t>本项目</w:t>
            </w:r>
            <w:r>
              <w:rPr>
                <w:rFonts w:hint="eastAsia" w:ascii="Times New Roman" w:hAnsi="Times New Roman" w:cs="Times New Roman" w:eastAsiaTheme="minorEastAsia"/>
                <w:b/>
                <w:bCs/>
                <w:color w:val="auto"/>
                <w:kern w:val="2"/>
                <w:sz w:val="24"/>
                <w:szCs w:val="24"/>
                <w:highlight w:val="none"/>
                <w:lang w:val="en-US" w:eastAsia="zh-CN" w:bidi="ar-SA"/>
              </w:rPr>
              <w:t>一期</w:t>
            </w:r>
            <w:r>
              <w:rPr>
                <w:rFonts w:hint="default" w:ascii="Times New Roman" w:hAnsi="Times New Roman" w:cs="Times New Roman" w:eastAsiaTheme="minorEastAsia"/>
                <w:b/>
                <w:bCs/>
                <w:color w:val="auto"/>
                <w:kern w:val="2"/>
                <w:sz w:val="24"/>
                <w:szCs w:val="24"/>
                <w:highlight w:val="none"/>
                <w:lang w:val="en-US" w:eastAsia="zh-CN" w:bidi="ar-SA"/>
              </w:rPr>
              <w:t>主要设备情况一览表</w:t>
            </w:r>
          </w:p>
          <w:tbl>
            <w:tblPr>
              <w:tblStyle w:val="18"/>
              <w:tblW w:w="495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
              <w:gridCol w:w="1173"/>
              <w:gridCol w:w="992"/>
              <w:gridCol w:w="1328"/>
              <w:gridCol w:w="885"/>
              <w:gridCol w:w="1218"/>
              <w:gridCol w:w="1663"/>
              <w:gridCol w:w="1264"/>
            </w:tblGrid>
            <w:tr w14:paraId="13A79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252" w:type="pct"/>
                  <w:vMerge w:val="restart"/>
                  <w:noWrap w:val="0"/>
                  <w:vAlign w:val="center"/>
                </w:tcPr>
                <w:p w14:paraId="251BCDBE">
                  <w:pPr>
                    <w:pStyle w:val="10"/>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ind w:right="0" w:rightChars="0"/>
                    <w:jc w:val="center"/>
                    <w:textAlignment w:val="auto"/>
                    <w:rPr>
                      <w:rFonts w:hint="default" w:ascii="Times New Roman" w:hAnsi="Times New Roman" w:eastAsia="CESI宋体-GB2312" w:cs="Times New Roman"/>
                      <w:b/>
                      <w:bCs/>
                      <w:color w:val="000000"/>
                      <w:sz w:val="21"/>
                      <w:szCs w:val="21"/>
                      <w:lang w:val="en-US" w:eastAsia="zh-CN"/>
                    </w:rPr>
                  </w:pPr>
                  <w:r>
                    <w:rPr>
                      <w:rFonts w:hint="default" w:ascii="Times New Roman" w:hAnsi="Times New Roman" w:eastAsia="CESI宋体-GB2312" w:cs="Times New Roman"/>
                      <w:b/>
                      <w:bCs/>
                      <w:color w:val="000000"/>
                      <w:sz w:val="21"/>
                      <w:szCs w:val="21"/>
                      <w:lang w:val="en-US" w:eastAsia="zh-CN"/>
                    </w:rPr>
                    <w:t>序号</w:t>
                  </w:r>
                </w:p>
              </w:tc>
              <w:tc>
                <w:tcPr>
                  <w:tcW w:w="1945" w:type="pct"/>
                  <w:gridSpan w:val="3"/>
                  <w:noWrap w:val="0"/>
                  <w:vAlign w:val="center"/>
                </w:tcPr>
                <w:p w14:paraId="4F96557F">
                  <w:pPr>
                    <w:pStyle w:val="10"/>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ind w:right="0" w:rightChars="0"/>
                    <w:jc w:val="center"/>
                    <w:textAlignment w:val="auto"/>
                    <w:rPr>
                      <w:rFonts w:hint="default" w:ascii="Times New Roman" w:hAnsi="Times New Roman" w:eastAsia="CESI宋体-GB2312" w:cs="Times New Roman"/>
                      <w:b/>
                      <w:bCs/>
                      <w:color w:val="000000"/>
                      <w:sz w:val="21"/>
                      <w:szCs w:val="21"/>
                      <w:lang w:val="en-US" w:eastAsia="zh-CN"/>
                    </w:rPr>
                  </w:pPr>
                  <w:r>
                    <w:rPr>
                      <w:rFonts w:hint="default" w:ascii="Times New Roman" w:hAnsi="Times New Roman" w:eastAsia="CESI宋体-GB2312" w:cs="Times New Roman"/>
                      <w:b/>
                      <w:bCs/>
                      <w:color w:val="000000"/>
                      <w:sz w:val="21"/>
                      <w:szCs w:val="21"/>
                      <w:lang w:val="en-US" w:eastAsia="zh-CN"/>
                    </w:rPr>
                    <w:t>环评情况</w:t>
                  </w:r>
                </w:p>
              </w:tc>
              <w:tc>
                <w:tcPr>
                  <w:tcW w:w="2097" w:type="pct"/>
                  <w:gridSpan w:val="3"/>
                  <w:noWrap w:val="0"/>
                  <w:vAlign w:val="center"/>
                </w:tcPr>
                <w:p w14:paraId="1BE750AF">
                  <w:pPr>
                    <w:pStyle w:val="10"/>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ind w:right="0" w:rightChars="0"/>
                    <w:jc w:val="center"/>
                    <w:textAlignment w:val="auto"/>
                    <w:rPr>
                      <w:rFonts w:hint="default" w:ascii="Times New Roman" w:hAnsi="Times New Roman" w:eastAsia="CESI宋体-GB2312" w:cs="Times New Roman"/>
                      <w:b/>
                      <w:bCs/>
                      <w:color w:val="000000"/>
                      <w:sz w:val="21"/>
                      <w:szCs w:val="21"/>
                      <w:lang w:val="en-US" w:eastAsia="zh-CN"/>
                    </w:rPr>
                  </w:pPr>
                  <w:r>
                    <w:rPr>
                      <w:rFonts w:hint="default" w:ascii="Times New Roman" w:hAnsi="Times New Roman" w:eastAsia="CESI宋体-GB2312" w:cs="Times New Roman"/>
                      <w:b/>
                      <w:bCs/>
                      <w:color w:val="000000"/>
                      <w:sz w:val="21"/>
                      <w:szCs w:val="21"/>
                      <w:lang w:val="en-US" w:eastAsia="zh-CN"/>
                    </w:rPr>
                    <w:t>实际情况</w:t>
                  </w:r>
                </w:p>
              </w:tc>
              <w:tc>
                <w:tcPr>
                  <w:tcW w:w="704" w:type="pct"/>
                  <w:vMerge w:val="restart"/>
                  <w:noWrap w:val="0"/>
                  <w:vAlign w:val="center"/>
                </w:tcPr>
                <w:p w14:paraId="00356A65">
                  <w:pPr>
                    <w:pStyle w:val="10"/>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ind w:right="0" w:rightChars="0"/>
                    <w:jc w:val="center"/>
                    <w:textAlignment w:val="auto"/>
                    <w:rPr>
                      <w:rFonts w:hint="default" w:ascii="Times New Roman" w:hAnsi="Times New Roman" w:eastAsia="CESI宋体-GB2312" w:cs="Times New Roman"/>
                      <w:b/>
                      <w:bCs/>
                      <w:color w:val="000000"/>
                      <w:sz w:val="21"/>
                      <w:szCs w:val="21"/>
                      <w:lang w:val="en-US" w:eastAsia="zh-CN"/>
                    </w:rPr>
                  </w:pPr>
                  <w:r>
                    <w:rPr>
                      <w:rFonts w:hint="default" w:ascii="Times New Roman" w:hAnsi="Times New Roman" w:eastAsia="CESI宋体-GB2312" w:cs="Times New Roman"/>
                      <w:b/>
                      <w:bCs/>
                      <w:color w:val="000000"/>
                      <w:sz w:val="21"/>
                      <w:szCs w:val="21"/>
                      <w:lang w:val="en-US" w:eastAsia="zh-CN"/>
                    </w:rPr>
                    <w:t>变化情况</w:t>
                  </w:r>
                </w:p>
              </w:tc>
            </w:tr>
            <w:tr w14:paraId="1CC96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252" w:type="pct"/>
                  <w:vMerge w:val="continue"/>
                  <w:noWrap w:val="0"/>
                  <w:vAlign w:val="center"/>
                </w:tcPr>
                <w:p w14:paraId="145607E3">
                  <w:pPr>
                    <w:pStyle w:val="10"/>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ind w:right="0" w:rightChars="0"/>
                    <w:jc w:val="center"/>
                    <w:textAlignment w:val="auto"/>
                    <w:rPr>
                      <w:rFonts w:hint="default" w:ascii="Times New Roman" w:hAnsi="Times New Roman" w:eastAsia="CESI宋体-GB2312" w:cs="Times New Roman"/>
                      <w:b/>
                      <w:bCs/>
                      <w:color w:val="000000"/>
                      <w:sz w:val="21"/>
                      <w:szCs w:val="21"/>
                      <w:lang w:val="en-US" w:eastAsia="zh-CN"/>
                    </w:rPr>
                  </w:pPr>
                </w:p>
              </w:tc>
              <w:tc>
                <w:tcPr>
                  <w:tcW w:w="710" w:type="pct"/>
                  <w:noWrap w:val="0"/>
                  <w:vAlign w:val="center"/>
                </w:tcPr>
                <w:p w14:paraId="19305C4E">
                  <w:pPr>
                    <w:pStyle w:val="10"/>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ind w:right="0" w:rightChars="0"/>
                    <w:jc w:val="center"/>
                    <w:textAlignment w:val="auto"/>
                    <w:rPr>
                      <w:rFonts w:hint="default" w:ascii="Times New Roman" w:hAnsi="Times New Roman" w:eastAsia="CESI宋体-GB2312" w:cs="Times New Roman"/>
                      <w:b/>
                      <w:bCs/>
                      <w:color w:val="000000"/>
                      <w:sz w:val="21"/>
                      <w:szCs w:val="21"/>
                      <w:lang w:val="en-US" w:eastAsia="zh-CN"/>
                    </w:rPr>
                  </w:pPr>
                  <w:r>
                    <w:rPr>
                      <w:rFonts w:hint="default" w:ascii="Times New Roman" w:hAnsi="Times New Roman" w:eastAsia="CESI宋体-GB2312" w:cs="Times New Roman"/>
                      <w:b/>
                      <w:bCs/>
                      <w:color w:val="000000"/>
                      <w:sz w:val="21"/>
                      <w:szCs w:val="21"/>
                      <w:lang w:val="en-US" w:eastAsia="zh-CN"/>
                    </w:rPr>
                    <w:t>名称</w:t>
                  </w:r>
                </w:p>
              </w:tc>
              <w:tc>
                <w:tcPr>
                  <w:tcW w:w="587" w:type="pct"/>
                  <w:noWrap w:val="0"/>
                  <w:vAlign w:val="center"/>
                </w:tcPr>
                <w:p w14:paraId="691F5EFD">
                  <w:pPr>
                    <w:pStyle w:val="10"/>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ind w:right="0" w:rightChars="0"/>
                    <w:jc w:val="center"/>
                    <w:textAlignment w:val="auto"/>
                    <w:rPr>
                      <w:rFonts w:hint="default" w:ascii="Times New Roman" w:hAnsi="Times New Roman" w:eastAsia="CESI宋体-GB2312" w:cs="Times New Roman"/>
                      <w:b/>
                      <w:bCs/>
                      <w:color w:val="000000"/>
                      <w:sz w:val="21"/>
                      <w:szCs w:val="21"/>
                      <w:lang w:val="en-US" w:eastAsia="zh-CN"/>
                    </w:rPr>
                  </w:pPr>
                  <w:r>
                    <w:rPr>
                      <w:rFonts w:hint="default" w:ascii="Times New Roman" w:hAnsi="Times New Roman" w:eastAsia="CESI宋体-GB2312" w:cs="Times New Roman"/>
                      <w:b/>
                      <w:bCs/>
                      <w:color w:val="000000"/>
                      <w:sz w:val="21"/>
                      <w:szCs w:val="21"/>
                      <w:lang w:val="en-US" w:eastAsia="zh-CN"/>
                    </w:rPr>
                    <w:t>型号</w:t>
                  </w:r>
                </w:p>
              </w:tc>
              <w:tc>
                <w:tcPr>
                  <w:tcW w:w="647" w:type="pct"/>
                  <w:noWrap w:val="0"/>
                  <w:vAlign w:val="center"/>
                </w:tcPr>
                <w:p w14:paraId="15996B48">
                  <w:pPr>
                    <w:pStyle w:val="10"/>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ind w:right="0" w:rightChars="0"/>
                    <w:jc w:val="center"/>
                    <w:textAlignment w:val="auto"/>
                    <w:rPr>
                      <w:rFonts w:hint="default" w:ascii="Times New Roman" w:hAnsi="Times New Roman" w:eastAsia="CESI宋体-GB2312" w:cs="Times New Roman"/>
                      <w:b/>
                      <w:bCs/>
                      <w:color w:val="000000"/>
                      <w:sz w:val="21"/>
                      <w:szCs w:val="21"/>
                      <w:lang w:val="en-US" w:eastAsia="zh-CN"/>
                    </w:rPr>
                  </w:pPr>
                  <w:r>
                    <w:rPr>
                      <w:rFonts w:hint="default" w:ascii="Times New Roman" w:hAnsi="Times New Roman" w:eastAsia="CESI宋体-GB2312" w:cs="Times New Roman"/>
                      <w:b/>
                      <w:bCs/>
                      <w:color w:val="000000"/>
                      <w:sz w:val="21"/>
                      <w:szCs w:val="21"/>
                      <w:lang w:val="en-US" w:eastAsia="zh-CN"/>
                    </w:rPr>
                    <w:t>数量（台）</w:t>
                  </w:r>
                </w:p>
              </w:tc>
              <w:tc>
                <w:tcPr>
                  <w:tcW w:w="663" w:type="pct"/>
                  <w:noWrap w:val="0"/>
                  <w:vAlign w:val="center"/>
                </w:tcPr>
                <w:p w14:paraId="22244FD6">
                  <w:pPr>
                    <w:pStyle w:val="10"/>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rPr>
                      <w:rFonts w:hint="default" w:ascii="Times New Roman" w:hAnsi="Times New Roman" w:eastAsia="CESI宋体-GB2312" w:cs="Times New Roman"/>
                      <w:b/>
                      <w:bCs/>
                      <w:color w:val="000000"/>
                      <w:sz w:val="21"/>
                      <w:szCs w:val="21"/>
                      <w:lang w:val="en-US" w:eastAsia="zh-CN"/>
                    </w:rPr>
                  </w:pPr>
                  <w:r>
                    <w:rPr>
                      <w:rFonts w:hint="default" w:ascii="Times New Roman" w:hAnsi="Times New Roman" w:eastAsia="CESI宋体-GB2312" w:cs="Times New Roman"/>
                      <w:b/>
                      <w:bCs/>
                      <w:color w:val="000000"/>
                      <w:sz w:val="21"/>
                      <w:szCs w:val="21"/>
                      <w:lang w:val="en-US" w:eastAsia="zh-CN"/>
                    </w:rPr>
                    <w:t>名称</w:t>
                  </w:r>
                </w:p>
              </w:tc>
              <w:tc>
                <w:tcPr>
                  <w:tcW w:w="721" w:type="pct"/>
                  <w:noWrap w:val="0"/>
                  <w:vAlign w:val="center"/>
                </w:tcPr>
                <w:p w14:paraId="4E0F1AF9">
                  <w:pPr>
                    <w:pStyle w:val="10"/>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rPr>
                      <w:rFonts w:hint="default" w:ascii="Times New Roman" w:hAnsi="Times New Roman" w:eastAsia="CESI宋体-GB2312" w:cs="Times New Roman"/>
                      <w:b/>
                      <w:bCs/>
                      <w:color w:val="000000"/>
                      <w:kern w:val="2"/>
                      <w:sz w:val="21"/>
                      <w:szCs w:val="21"/>
                      <w:lang w:val="en-US" w:eastAsia="zh-CN" w:bidi="ar-SA"/>
                    </w:rPr>
                  </w:pPr>
                  <w:r>
                    <w:rPr>
                      <w:rFonts w:hint="default" w:ascii="Times New Roman" w:hAnsi="Times New Roman" w:eastAsia="CESI宋体-GB2312" w:cs="Times New Roman"/>
                      <w:b/>
                      <w:bCs/>
                      <w:color w:val="000000"/>
                      <w:sz w:val="21"/>
                      <w:szCs w:val="21"/>
                      <w:lang w:val="en-US" w:eastAsia="zh-CN"/>
                    </w:rPr>
                    <w:t>型号</w:t>
                  </w:r>
                </w:p>
              </w:tc>
              <w:tc>
                <w:tcPr>
                  <w:tcW w:w="713" w:type="pct"/>
                  <w:noWrap w:val="0"/>
                  <w:vAlign w:val="center"/>
                </w:tcPr>
                <w:p w14:paraId="33CC69C1">
                  <w:pPr>
                    <w:pStyle w:val="10"/>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rPr>
                      <w:rFonts w:hint="default" w:ascii="Times New Roman" w:hAnsi="Times New Roman" w:eastAsia="CESI宋体-GB2312" w:cs="Times New Roman"/>
                      <w:b/>
                      <w:bCs/>
                      <w:color w:val="000000"/>
                      <w:kern w:val="2"/>
                      <w:sz w:val="21"/>
                      <w:szCs w:val="21"/>
                      <w:lang w:val="en-US" w:eastAsia="zh-CN" w:bidi="ar-SA"/>
                    </w:rPr>
                  </w:pPr>
                  <w:r>
                    <w:rPr>
                      <w:rFonts w:hint="default" w:ascii="Times New Roman" w:hAnsi="Times New Roman" w:eastAsia="CESI宋体-GB2312" w:cs="Times New Roman"/>
                      <w:b/>
                      <w:bCs/>
                      <w:color w:val="000000"/>
                      <w:sz w:val="21"/>
                      <w:szCs w:val="21"/>
                      <w:lang w:val="en-US" w:eastAsia="zh-CN"/>
                    </w:rPr>
                    <w:t>数量（台）</w:t>
                  </w:r>
                </w:p>
              </w:tc>
              <w:tc>
                <w:tcPr>
                  <w:tcW w:w="704" w:type="pct"/>
                  <w:vMerge w:val="continue"/>
                  <w:noWrap w:val="0"/>
                  <w:vAlign w:val="center"/>
                </w:tcPr>
                <w:p w14:paraId="14A8CBCF">
                  <w:pPr>
                    <w:pStyle w:val="10"/>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rPr>
                      <w:rFonts w:hint="default" w:ascii="Times New Roman" w:hAnsi="Times New Roman" w:eastAsia="CESI宋体-GB2312" w:cs="Times New Roman"/>
                      <w:b/>
                      <w:bCs/>
                      <w:color w:val="000000"/>
                      <w:sz w:val="21"/>
                      <w:szCs w:val="21"/>
                      <w:lang w:val="en-US" w:eastAsia="zh-CN"/>
                    </w:rPr>
                  </w:pPr>
                </w:p>
              </w:tc>
            </w:tr>
            <w:tr w14:paraId="6832C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 w:type="pct"/>
                  <w:noWrap w:val="0"/>
                  <w:vAlign w:val="center"/>
                </w:tcPr>
                <w:p w14:paraId="12A41ED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710" w:type="pct"/>
                  <w:shd w:val="clear" w:color="auto" w:fill="auto"/>
                  <w:noWrap w:val="0"/>
                  <w:vAlign w:val="center"/>
                </w:tcPr>
                <w:p w14:paraId="0F3BAEC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钢壳中频磁轭炉</w:t>
                  </w:r>
                </w:p>
              </w:tc>
              <w:tc>
                <w:tcPr>
                  <w:tcW w:w="587" w:type="pct"/>
                  <w:shd w:val="clear" w:color="auto" w:fill="auto"/>
                  <w:noWrap w:val="0"/>
                  <w:vAlign w:val="center"/>
                </w:tcPr>
                <w:p w14:paraId="37D3016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1.5T</w:t>
                  </w:r>
                </w:p>
              </w:tc>
              <w:tc>
                <w:tcPr>
                  <w:tcW w:w="647" w:type="pct"/>
                  <w:shd w:val="clear" w:color="auto" w:fill="auto"/>
                  <w:noWrap w:val="0"/>
                  <w:vAlign w:val="center"/>
                </w:tcPr>
                <w:p w14:paraId="323208C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2</w:t>
                  </w:r>
                </w:p>
              </w:tc>
              <w:tc>
                <w:tcPr>
                  <w:tcW w:w="663" w:type="pct"/>
                  <w:shd w:val="clear" w:color="auto" w:fill="auto"/>
                  <w:noWrap w:val="0"/>
                  <w:vAlign w:val="center"/>
                </w:tcPr>
                <w:p w14:paraId="724DA19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钢壳中频磁轭炉</w:t>
                  </w:r>
                </w:p>
              </w:tc>
              <w:tc>
                <w:tcPr>
                  <w:tcW w:w="721" w:type="pct"/>
                  <w:shd w:val="clear" w:color="auto" w:fill="auto"/>
                  <w:noWrap w:val="0"/>
                  <w:vAlign w:val="center"/>
                </w:tcPr>
                <w:p w14:paraId="0E47327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1.5T</w:t>
                  </w:r>
                </w:p>
              </w:tc>
              <w:tc>
                <w:tcPr>
                  <w:tcW w:w="713" w:type="pct"/>
                  <w:shd w:val="clear" w:color="auto" w:fill="auto"/>
                  <w:noWrap w:val="0"/>
                  <w:vAlign w:val="center"/>
                </w:tcPr>
                <w:p w14:paraId="3694706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2</w:t>
                  </w:r>
                </w:p>
              </w:tc>
              <w:tc>
                <w:tcPr>
                  <w:tcW w:w="704" w:type="pct"/>
                  <w:noWrap w:val="0"/>
                  <w:vAlign w:val="center"/>
                </w:tcPr>
                <w:p w14:paraId="5AFBDBC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未变化</w:t>
                  </w:r>
                </w:p>
              </w:tc>
            </w:tr>
            <w:tr w14:paraId="085AD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2" w:type="pct"/>
                  <w:noWrap w:val="0"/>
                  <w:vAlign w:val="center"/>
                </w:tcPr>
                <w:p w14:paraId="77C1E24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w:t>
                  </w:r>
                </w:p>
              </w:tc>
              <w:tc>
                <w:tcPr>
                  <w:tcW w:w="710" w:type="pct"/>
                  <w:shd w:val="clear" w:color="auto" w:fill="auto"/>
                  <w:noWrap w:val="0"/>
                  <w:vAlign w:val="center"/>
                </w:tcPr>
                <w:p w14:paraId="617047F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冷却塔</w:t>
                  </w:r>
                </w:p>
              </w:tc>
              <w:tc>
                <w:tcPr>
                  <w:tcW w:w="587" w:type="pct"/>
                  <w:shd w:val="clear" w:color="auto" w:fill="auto"/>
                  <w:noWrap w:val="0"/>
                  <w:vAlign w:val="center"/>
                </w:tcPr>
                <w:p w14:paraId="2FA9C12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循环水30m</w:t>
                  </w:r>
                  <w:r>
                    <w:rPr>
                      <w:rFonts w:hint="default" w:ascii="Times New Roman" w:hAnsi="Times New Roman" w:eastAsia="宋体" w:cs="Times New Roman"/>
                      <w:color w:val="000000"/>
                      <w:highlight w:val="none"/>
                      <w:vertAlign w:val="superscript"/>
                      <w:lang w:val="en-US" w:eastAsia="zh-CN"/>
                    </w:rPr>
                    <w:t>3</w:t>
                  </w:r>
                  <w:r>
                    <w:rPr>
                      <w:rFonts w:hint="default" w:ascii="Times New Roman" w:hAnsi="Times New Roman" w:eastAsia="宋体" w:cs="Times New Roman"/>
                      <w:color w:val="000000"/>
                      <w:highlight w:val="none"/>
                      <w:lang w:val="en-US" w:eastAsia="zh-CN"/>
                    </w:rPr>
                    <w:t>/h</w:t>
                  </w:r>
                </w:p>
              </w:tc>
              <w:tc>
                <w:tcPr>
                  <w:tcW w:w="647" w:type="pct"/>
                  <w:shd w:val="clear" w:color="auto" w:fill="auto"/>
                  <w:noWrap w:val="0"/>
                  <w:vAlign w:val="center"/>
                </w:tcPr>
                <w:p w14:paraId="6D4E33B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1</w:t>
                  </w:r>
                </w:p>
              </w:tc>
              <w:tc>
                <w:tcPr>
                  <w:tcW w:w="663" w:type="pct"/>
                  <w:shd w:val="clear" w:color="auto" w:fill="auto"/>
                  <w:noWrap w:val="0"/>
                  <w:vAlign w:val="center"/>
                </w:tcPr>
                <w:p w14:paraId="331ABB9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冷却塔</w:t>
                  </w:r>
                </w:p>
              </w:tc>
              <w:tc>
                <w:tcPr>
                  <w:tcW w:w="721" w:type="pct"/>
                  <w:shd w:val="clear" w:color="auto" w:fill="auto"/>
                  <w:noWrap w:val="0"/>
                  <w:vAlign w:val="center"/>
                </w:tcPr>
                <w:p w14:paraId="5A334D1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循环水30m</w:t>
                  </w:r>
                  <w:r>
                    <w:rPr>
                      <w:rFonts w:hint="default" w:ascii="Times New Roman" w:hAnsi="Times New Roman" w:eastAsia="宋体" w:cs="Times New Roman"/>
                      <w:color w:val="000000"/>
                      <w:highlight w:val="none"/>
                      <w:vertAlign w:val="superscript"/>
                      <w:lang w:val="en-US" w:eastAsia="zh-CN"/>
                    </w:rPr>
                    <w:t>3</w:t>
                  </w:r>
                  <w:r>
                    <w:rPr>
                      <w:rFonts w:hint="default" w:ascii="Times New Roman" w:hAnsi="Times New Roman" w:eastAsia="宋体" w:cs="Times New Roman"/>
                      <w:color w:val="000000"/>
                      <w:highlight w:val="none"/>
                      <w:lang w:val="en-US" w:eastAsia="zh-CN"/>
                    </w:rPr>
                    <w:t>/h</w:t>
                  </w:r>
                </w:p>
              </w:tc>
              <w:tc>
                <w:tcPr>
                  <w:tcW w:w="713" w:type="pct"/>
                  <w:shd w:val="clear" w:color="auto" w:fill="auto"/>
                  <w:noWrap w:val="0"/>
                  <w:vAlign w:val="center"/>
                </w:tcPr>
                <w:p w14:paraId="6684E7A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1</w:t>
                  </w:r>
                </w:p>
              </w:tc>
              <w:tc>
                <w:tcPr>
                  <w:tcW w:w="704" w:type="pct"/>
                  <w:noWrap w:val="0"/>
                  <w:vAlign w:val="center"/>
                </w:tcPr>
                <w:p w14:paraId="7AE9F8E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未变化</w:t>
                  </w:r>
                </w:p>
              </w:tc>
            </w:tr>
            <w:tr w14:paraId="2F0BC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252" w:type="pct"/>
                  <w:noWrap w:val="0"/>
                  <w:vAlign w:val="center"/>
                </w:tcPr>
                <w:p w14:paraId="0DF2D40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w:t>
                  </w:r>
                </w:p>
              </w:tc>
              <w:tc>
                <w:tcPr>
                  <w:tcW w:w="710" w:type="pct"/>
                  <w:shd w:val="clear" w:color="auto" w:fill="auto"/>
                  <w:noWrap w:val="0"/>
                  <w:vAlign w:val="center"/>
                </w:tcPr>
                <w:p w14:paraId="4C5FF43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造型机</w:t>
                  </w:r>
                </w:p>
              </w:tc>
              <w:tc>
                <w:tcPr>
                  <w:tcW w:w="587" w:type="pct"/>
                  <w:shd w:val="clear" w:color="auto" w:fill="auto"/>
                  <w:noWrap w:val="0"/>
                  <w:vAlign w:val="center"/>
                </w:tcPr>
                <w:p w14:paraId="40D858A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w:t>
                  </w:r>
                </w:p>
              </w:tc>
              <w:tc>
                <w:tcPr>
                  <w:tcW w:w="647" w:type="pct"/>
                  <w:shd w:val="clear" w:color="auto" w:fill="auto"/>
                  <w:noWrap w:val="0"/>
                  <w:vAlign w:val="center"/>
                </w:tcPr>
                <w:p w14:paraId="3D48781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1</w:t>
                  </w:r>
                </w:p>
              </w:tc>
              <w:tc>
                <w:tcPr>
                  <w:tcW w:w="663" w:type="pct"/>
                  <w:shd w:val="clear" w:color="auto" w:fill="auto"/>
                  <w:noWrap w:val="0"/>
                  <w:vAlign w:val="center"/>
                </w:tcPr>
                <w:p w14:paraId="389328B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造型机</w:t>
                  </w:r>
                </w:p>
              </w:tc>
              <w:tc>
                <w:tcPr>
                  <w:tcW w:w="721" w:type="pct"/>
                  <w:shd w:val="clear" w:color="auto" w:fill="auto"/>
                  <w:noWrap w:val="0"/>
                  <w:vAlign w:val="center"/>
                </w:tcPr>
                <w:p w14:paraId="28F7F2D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w:t>
                  </w:r>
                </w:p>
              </w:tc>
              <w:tc>
                <w:tcPr>
                  <w:tcW w:w="713" w:type="pct"/>
                  <w:shd w:val="clear" w:color="auto" w:fill="auto"/>
                  <w:noWrap w:val="0"/>
                  <w:vAlign w:val="center"/>
                </w:tcPr>
                <w:p w14:paraId="7041BAB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1</w:t>
                  </w:r>
                </w:p>
              </w:tc>
              <w:tc>
                <w:tcPr>
                  <w:tcW w:w="704" w:type="pct"/>
                  <w:noWrap w:val="0"/>
                  <w:vAlign w:val="center"/>
                </w:tcPr>
                <w:p w14:paraId="7273C04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未变化</w:t>
                  </w:r>
                </w:p>
              </w:tc>
            </w:tr>
            <w:tr w14:paraId="75F8B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 w:type="pct"/>
                  <w:noWrap w:val="0"/>
                  <w:vAlign w:val="center"/>
                </w:tcPr>
                <w:p w14:paraId="7403E4E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4</w:t>
                  </w:r>
                </w:p>
              </w:tc>
              <w:tc>
                <w:tcPr>
                  <w:tcW w:w="710" w:type="pct"/>
                  <w:shd w:val="clear" w:color="auto" w:fill="auto"/>
                  <w:noWrap w:val="0"/>
                  <w:vAlign w:val="center"/>
                </w:tcPr>
                <w:p w14:paraId="48E17FF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混砂机</w:t>
                  </w:r>
                </w:p>
              </w:tc>
              <w:tc>
                <w:tcPr>
                  <w:tcW w:w="587" w:type="pct"/>
                  <w:shd w:val="clear" w:color="auto" w:fill="auto"/>
                  <w:noWrap w:val="0"/>
                  <w:vAlign w:val="center"/>
                </w:tcPr>
                <w:p w14:paraId="59D24C1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w:t>
                  </w:r>
                </w:p>
              </w:tc>
              <w:tc>
                <w:tcPr>
                  <w:tcW w:w="647" w:type="pct"/>
                  <w:shd w:val="clear" w:color="auto" w:fill="auto"/>
                  <w:noWrap w:val="0"/>
                  <w:vAlign w:val="center"/>
                </w:tcPr>
                <w:p w14:paraId="4334AD8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1</w:t>
                  </w:r>
                </w:p>
              </w:tc>
              <w:tc>
                <w:tcPr>
                  <w:tcW w:w="663" w:type="pct"/>
                  <w:shd w:val="clear" w:color="auto" w:fill="auto"/>
                  <w:noWrap w:val="0"/>
                  <w:vAlign w:val="center"/>
                </w:tcPr>
                <w:p w14:paraId="063B548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混砂机</w:t>
                  </w:r>
                </w:p>
              </w:tc>
              <w:tc>
                <w:tcPr>
                  <w:tcW w:w="721" w:type="pct"/>
                  <w:shd w:val="clear" w:color="auto" w:fill="auto"/>
                  <w:noWrap w:val="0"/>
                  <w:vAlign w:val="center"/>
                </w:tcPr>
                <w:p w14:paraId="35A8CC2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w:t>
                  </w:r>
                </w:p>
              </w:tc>
              <w:tc>
                <w:tcPr>
                  <w:tcW w:w="713" w:type="pct"/>
                  <w:shd w:val="clear" w:color="auto" w:fill="auto"/>
                  <w:noWrap w:val="0"/>
                  <w:vAlign w:val="center"/>
                </w:tcPr>
                <w:p w14:paraId="300D53A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1</w:t>
                  </w:r>
                </w:p>
              </w:tc>
              <w:tc>
                <w:tcPr>
                  <w:tcW w:w="704" w:type="pct"/>
                  <w:noWrap w:val="0"/>
                  <w:vAlign w:val="center"/>
                </w:tcPr>
                <w:p w14:paraId="55678E3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未变化</w:t>
                  </w:r>
                </w:p>
              </w:tc>
            </w:tr>
            <w:tr w14:paraId="694BA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2" w:type="pct"/>
                  <w:noWrap w:val="0"/>
                  <w:vAlign w:val="center"/>
                </w:tcPr>
                <w:p w14:paraId="2EF78F2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5</w:t>
                  </w:r>
                </w:p>
              </w:tc>
              <w:tc>
                <w:tcPr>
                  <w:tcW w:w="710" w:type="pct"/>
                  <w:shd w:val="clear" w:color="auto" w:fill="auto"/>
                  <w:noWrap w:val="0"/>
                  <w:vAlign w:val="center"/>
                </w:tcPr>
                <w:p w14:paraId="2542052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砂处理系统</w:t>
                  </w:r>
                </w:p>
              </w:tc>
              <w:tc>
                <w:tcPr>
                  <w:tcW w:w="587" w:type="pct"/>
                  <w:shd w:val="clear" w:color="auto" w:fill="auto"/>
                  <w:noWrap w:val="0"/>
                  <w:vAlign w:val="center"/>
                </w:tcPr>
                <w:p w14:paraId="14D8B0D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自动线</w:t>
                  </w:r>
                </w:p>
              </w:tc>
              <w:tc>
                <w:tcPr>
                  <w:tcW w:w="647" w:type="pct"/>
                  <w:shd w:val="clear" w:color="auto" w:fill="auto"/>
                  <w:noWrap w:val="0"/>
                  <w:vAlign w:val="center"/>
                </w:tcPr>
                <w:p w14:paraId="0F57045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1</w:t>
                  </w:r>
                </w:p>
              </w:tc>
              <w:tc>
                <w:tcPr>
                  <w:tcW w:w="663" w:type="pct"/>
                  <w:shd w:val="clear" w:color="auto" w:fill="auto"/>
                  <w:noWrap w:val="0"/>
                  <w:vAlign w:val="center"/>
                </w:tcPr>
                <w:p w14:paraId="44EDCFF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砂处理系统</w:t>
                  </w:r>
                </w:p>
              </w:tc>
              <w:tc>
                <w:tcPr>
                  <w:tcW w:w="721" w:type="pct"/>
                  <w:shd w:val="clear" w:color="auto" w:fill="auto"/>
                  <w:noWrap w:val="0"/>
                  <w:vAlign w:val="center"/>
                </w:tcPr>
                <w:p w14:paraId="4831312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highlight w:val="none"/>
                      <w:lang w:val="en-US" w:eastAsia="zh-CN"/>
                    </w:rPr>
                  </w:pPr>
                  <w:r>
                    <w:rPr>
                      <w:rFonts w:hint="eastAsia" w:ascii="Times New Roman" w:hAnsi="Times New Roman" w:eastAsia="宋体" w:cs="Times New Roman"/>
                      <w:color w:val="000000"/>
                      <w:highlight w:val="none"/>
                      <w:lang w:val="en-US" w:eastAsia="zh-CN"/>
                    </w:rPr>
                    <w:t>/</w:t>
                  </w:r>
                </w:p>
              </w:tc>
              <w:tc>
                <w:tcPr>
                  <w:tcW w:w="713" w:type="pct"/>
                  <w:shd w:val="clear" w:color="auto" w:fill="auto"/>
                  <w:noWrap w:val="0"/>
                  <w:vAlign w:val="center"/>
                </w:tcPr>
                <w:p w14:paraId="405111F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0</w:t>
                  </w:r>
                </w:p>
              </w:tc>
              <w:tc>
                <w:tcPr>
                  <w:tcW w:w="704" w:type="pct"/>
                  <w:noWrap w:val="0"/>
                  <w:vAlign w:val="center"/>
                </w:tcPr>
                <w:p w14:paraId="22F218F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二期建设</w:t>
                  </w:r>
                </w:p>
              </w:tc>
            </w:tr>
            <w:tr w14:paraId="335BE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2" w:type="pct"/>
                  <w:noWrap w:val="0"/>
                  <w:vAlign w:val="center"/>
                </w:tcPr>
                <w:p w14:paraId="41915FD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6</w:t>
                  </w:r>
                </w:p>
              </w:tc>
              <w:tc>
                <w:tcPr>
                  <w:tcW w:w="710" w:type="pct"/>
                  <w:shd w:val="clear" w:color="auto" w:fill="auto"/>
                  <w:noWrap w:val="0"/>
                  <w:vAlign w:val="center"/>
                </w:tcPr>
                <w:p w14:paraId="0244857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抛丸机</w:t>
                  </w:r>
                </w:p>
              </w:tc>
              <w:tc>
                <w:tcPr>
                  <w:tcW w:w="587" w:type="pct"/>
                  <w:shd w:val="clear" w:color="auto" w:fill="auto"/>
                  <w:noWrap w:val="0"/>
                  <w:vAlign w:val="center"/>
                </w:tcPr>
                <w:p w14:paraId="05B8CAB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Q378</w:t>
                  </w:r>
                </w:p>
              </w:tc>
              <w:tc>
                <w:tcPr>
                  <w:tcW w:w="647" w:type="pct"/>
                  <w:shd w:val="clear" w:color="auto" w:fill="auto"/>
                  <w:noWrap w:val="0"/>
                  <w:vAlign w:val="center"/>
                </w:tcPr>
                <w:p w14:paraId="3836492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1</w:t>
                  </w:r>
                </w:p>
              </w:tc>
              <w:tc>
                <w:tcPr>
                  <w:tcW w:w="663" w:type="pct"/>
                  <w:shd w:val="clear" w:color="auto" w:fill="auto"/>
                  <w:noWrap w:val="0"/>
                  <w:vAlign w:val="center"/>
                </w:tcPr>
                <w:p w14:paraId="572E327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抛丸机</w:t>
                  </w:r>
                </w:p>
              </w:tc>
              <w:tc>
                <w:tcPr>
                  <w:tcW w:w="721" w:type="pct"/>
                  <w:shd w:val="clear" w:color="auto" w:fill="auto"/>
                  <w:noWrap w:val="0"/>
                  <w:vAlign w:val="center"/>
                </w:tcPr>
                <w:p w14:paraId="35C2B18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Q378</w:t>
                  </w:r>
                </w:p>
              </w:tc>
              <w:tc>
                <w:tcPr>
                  <w:tcW w:w="713" w:type="pct"/>
                  <w:shd w:val="clear" w:color="auto" w:fill="auto"/>
                  <w:noWrap w:val="0"/>
                  <w:vAlign w:val="center"/>
                </w:tcPr>
                <w:p w14:paraId="3F9624F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1</w:t>
                  </w:r>
                </w:p>
              </w:tc>
              <w:tc>
                <w:tcPr>
                  <w:tcW w:w="704" w:type="pct"/>
                  <w:noWrap w:val="0"/>
                  <w:vAlign w:val="center"/>
                </w:tcPr>
                <w:p w14:paraId="1055E38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未变化</w:t>
                  </w:r>
                </w:p>
              </w:tc>
            </w:tr>
            <w:tr w14:paraId="19A41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2" w:type="pct"/>
                  <w:noWrap w:val="0"/>
                  <w:vAlign w:val="center"/>
                </w:tcPr>
                <w:p w14:paraId="171A2CD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7</w:t>
                  </w:r>
                </w:p>
              </w:tc>
              <w:tc>
                <w:tcPr>
                  <w:tcW w:w="710" w:type="pct"/>
                  <w:shd w:val="clear" w:color="auto" w:fill="auto"/>
                  <w:noWrap w:val="0"/>
                  <w:vAlign w:val="center"/>
                </w:tcPr>
                <w:p w14:paraId="37C0DFB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回火炉</w:t>
                  </w:r>
                </w:p>
              </w:tc>
              <w:tc>
                <w:tcPr>
                  <w:tcW w:w="587" w:type="pct"/>
                  <w:shd w:val="clear" w:color="auto" w:fill="auto"/>
                  <w:noWrap w:val="0"/>
                  <w:vAlign w:val="center"/>
                </w:tcPr>
                <w:p w14:paraId="53364A4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RT2-265-9</w:t>
                  </w:r>
                </w:p>
              </w:tc>
              <w:tc>
                <w:tcPr>
                  <w:tcW w:w="647" w:type="pct"/>
                  <w:shd w:val="clear" w:color="auto" w:fill="auto"/>
                  <w:noWrap w:val="0"/>
                  <w:vAlign w:val="center"/>
                </w:tcPr>
                <w:p w14:paraId="4F793A3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2</w:t>
                  </w:r>
                </w:p>
              </w:tc>
              <w:tc>
                <w:tcPr>
                  <w:tcW w:w="663" w:type="pct"/>
                  <w:shd w:val="clear" w:color="auto" w:fill="auto"/>
                  <w:noWrap w:val="0"/>
                  <w:vAlign w:val="center"/>
                </w:tcPr>
                <w:p w14:paraId="2A80DC0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回火炉</w:t>
                  </w:r>
                </w:p>
              </w:tc>
              <w:tc>
                <w:tcPr>
                  <w:tcW w:w="721" w:type="pct"/>
                  <w:shd w:val="clear" w:color="auto" w:fill="auto"/>
                  <w:noWrap w:val="0"/>
                  <w:vAlign w:val="center"/>
                </w:tcPr>
                <w:p w14:paraId="1A523E2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RT2-265-9</w:t>
                  </w:r>
                </w:p>
              </w:tc>
              <w:tc>
                <w:tcPr>
                  <w:tcW w:w="713" w:type="pct"/>
                  <w:shd w:val="clear" w:color="auto" w:fill="auto"/>
                  <w:noWrap w:val="0"/>
                  <w:vAlign w:val="center"/>
                </w:tcPr>
                <w:p w14:paraId="0D85FE5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2</w:t>
                  </w:r>
                </w:p>
              </w:tc>
              <w:tc>
                <w:tcPr>
                  <w:tcW w:w="704" w:type="pct"/>
                  <w:noWrap w:val="0"/>
                  <w:vAlign w:val="center"/>
                </w:tcPr>
                <w:p w14:paraId="5B9FA6B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未变化</w:t>
                  </w:r>
                </w:p>
              </w:tc>
            </w:tr>
            <w:tr w14:paraId="62C13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2" w:type="pct"/>
                  <w:noWrap w:val="0"/>
                  <w:vAlign w:val="center"/>
                </w:tcPr>
                <w:p w14:paraId="70F4967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8</w:t>
                  </w:r>
                </w:p>
              </w:tc>
              <w:tc>
                <w:tcPr>
                  <w:tcW w:w="710" w:type="pct"/>
                  <w:shd w:val="clear" w:color="auto" w:fill="auto"/>
                  <w:noWrap w:val="0"/>
                  <w:vAlign w:val="center"/>
                </w:tcPr>
                <w:p w14:paraId="6CCF1EA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振动筛</w:t>
                  </w:r>
                </w:p>
              </w:tc>
              <w:tc>
                <w:tcPr>
                  <w:tcW w:w="587" w:type="pct"/>
                  <w:shd w:val="clear" w:color="auto" w:fill="auto"/>
                  <w:noWrap w:val="0"/>
                  <w:vAlign w:val="center"/>
                </w:tcPr>
                <w:p w14:paraId="73C5D89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w:t>
                  </w:r>
                </w:p>
              </w:tc>
              <w:tc>
                <w:tcPr>
                  <w:tcW w:w="647" w:type="pct"/>
                  <w:shd w:val="clear" w:color="auto" w:fill="auto"/>
                  <w:noWrap w:val="0"/>
                  <w:vAlign w:val="center"/>
                </w:tcPr>
                <w:p w14:paraId="44C9F9D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1</w:t>
                  </w:r>
                </w:p>
              </w:tc>
              <w:tc>
                <w:tcPr>
                  <w:tcW w:w="663" w:type="pct"/>
                  <w:shd w:val="clear" w:color="auto" w:fill="auto"/>
                  <w:noWrap w:val="0"/>
                  <w:vAlign w:val="center"/>
                </w:tcPr>
                <w:p w14:paraId="75EACF6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振动筛</w:t>
                  </w:r>
                </w:p>
              </w:tc>
              <w:tc>
                <w:tcPr>
                  <w:tcW w:w="721" w:type="pct"/>
                  <w:shd w:val="clear" w:color="auto" w:fill="auto"/>
                  <w:noWrap w:val="0"/>
                  <w:vAlign w:val="center"/>
                </w:tcPr>
                <w:p w14:paraId="0BE249E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w:t>
                  </w:r>
                </w:p>
              </w:tc>
              <w:tc>
                <w:tcPr>
                  <w:tcW w:w="713" w:type="pct"/>
                  <w:shd w:val="clear" w:color="auto" w:fill="auto"/>
                  <w:noWrap w:val="0"/>
                  <w:vAlign w:val="center"/>
                </w:tcPr>
                <w:p w14:paraId="44BC074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1</w:t>
                  </w:r>
                </w:p>
              </w:tc>
              <w:tc>
                <w:tcPr>
                  <w:tcW w:w="704" w:type="pct"/>
                  <w:noWrap w:val="0"/>
                  <w:vAlign w:val="center"/>
                </w:tcPr>
                <w:p w14:paraId="03E987E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未变化</w:t>
                  </w:r>
                </w:p>
              </w:tc>
            </w:tr>
            <w:tr w14:paraId="3FA3D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2" w:type="pct"/>
                  <w:noWrap w:val="0"/>
                  <w:vAlign w:val="center"/>
                </w:tcPr>
                <w:p w14:paraId="30C5218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9</w:t>
                  </w:r>
                </w:p>
              </w:tc>
              <w:tc>
                <w:tcPr>
                  <w:tcW w:w="710" w:type="pct"/>
                  <w:shd w:val="clear" w:color="auto" w:fill="auto"/>
                  <w:noWrap w:val="0"/>
                  <w:vAlign w:val="top"/>
                </w:tcPr>
                <w:p w14:paraId="77CDE03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半自动气割</w:t>
                  </w:r>
                </w:p>
              </w:tc>
              <w:tc>
                <w:tcPr>
                  <w:tcW w:w="587" w:type="pct"/>
                  <w:shd w:val="clear" w:color="auto" w:fill="auto"/>
                  <w:noWrap w:val="0"/>
                  <w:vAlign w:val="center"/>
                </w:tcPr>
                <w:p w14:paraId="5EEA8D9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J3G-400</w:t>
                  </w:r>
                </w:p>
              </w:tc>
              <w:tc>
                <w:tcPr>
                  <w:tcW w:w="647" w:type="pct"/>
                  <w:shd w:val="clear" w:color="auto" w:fill="auto"/>
                  <w:noWrap w:val="0"/>
                  <w:vAlign w:val="center"/>
                </w:tcPr>
                <w:p w14:paraId="0770414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2</w:t>
                  </w:r>
                </w:p>
              </w:tc>
              <w:tc>
                <w:tcPr>
                  <w:tcW w:w="663" w:type="pct"/>
                  <w:shd w:val="clear" w:color="auto" w:fill="auto"/>
                  <w:noWrap w:val="0"/>
                  <w:vAlign w:val="center"/>
                </w:tcPr>
                <w:p w14:paraId="3D690E6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半自动气割</w:t>
                  </w:r>
                </w:p>
              </w:tc>
              <w:tc>
                <w:tcPr>
                  <w:tcW w:w="721" w:type="pct"/>
                  <w:shd w:val="clear" w:color="auto" w:fill="auto"/>
                  <w:noWrap w:val="0"/>
                  <w:vAlign w:val="center"/>
                </w:tcPr>
                <w:p w14:paraId="20454AB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J3G-400</w:t>
                  </w:r>
                </w:p>
              </w:tc>
              <w:tc>
                <w:tcPr>
                  <w:tcW w:w="713" w:type="pct"/>
                  <w:shd w:val="clear" w:color="auto" w:fill="auto"/>
                  <w:noWrap w:val="0"/>
                  <w:vAlign w:val="center"/>
                </w:tcPr>
                <w:p w14:paraId="4398DD8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2</w:t>
                  </w:r>
                </w:p>
              </w:tc>
              <w:tc>
                <w:tcPr>
                  <w:tcW w:w="704" w:type="pct"/>
                  <w:noWrap w:val="0"/>
                  <w:vAlign w:val="center"/>
                </w:tcPr>
                <w:p w14:paraId="6D274EA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highlight w:val="none"/>
                      <w:lang w:val="en-US" w:eastAsia="zh-CN"/>
                    </w:rPr>
                  </w:pPr>
                  <w:r>
                    <w:rPr>
                      <w:rFonts w:hint="default" w:ascii="Times New Roman" w:hAnsi="Times New Roman" w:eastAsia="宋体" w:cs="Times New Roman"/>
                      <w:color w:val="000000"/>
                      <w:highlight w:val="none"/>
                      <w:lang w:val="en-US" w:eastAsia="zh-CN"/>
                    </w:rPr>
                    <w:t>未变化</w:t>
                  </w:r>
                </w:p>
              </w:tc>
            </w:tr>
          </w:tbl>
          <w:p w14:paraId="6FB8100C">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5   </w:t>
            </w:r>
            <w:r>
              <w:rPr>
                <w:rFonts w:hint="default" w:ascii="Times New Roman" w:hAnsi="Times New Roman" w:cs="Times New Roman" w:eastAsiaTheme="minorEastAsia"/>
                <w:b/>
                <w:bCs/>
                <w:color w:val="auto"/>
                <w:kern w:val="2"/>
                <w:sz w:val="24"/>
                <w:szCs w:val="24"/>
                <w:lang w:val="en-US" w:eastAsia="zh-CN" w:bidi="ar-SA"/>
              </w:rPr>
              <w:t>环保设施环评、实际建设情况一览表</w:t>
            </w:r>
          </w:p>
          <w:tbl>
            <w:tblPr>
              <w:tblStyle w:val="18"/>
              <w:tblW w:w="498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
              <w:gridCol w:w="1161"/>
              <w:gridCol w:w="1088"/>
              <w:gridCol w:w="1206"/>
              <w:gridCol w:w="1098"/>
              <w:gridCol w:w="1248"/>
              <w:gridCol w:w="1191"/>
              <w:gridCol w:w="1228"/>
            </w:tblGrid>
            <w:tr w14:paraId="5F704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453" w:type="pct"/>
                  <w:noWrap w:val="0"/>
                  <w:vAlign w:val="center"/>
                </w:tcPr>
                <w:p w14:paraId="053E8777">
                  <w:pPr>
                    <w:pStyle w:val="10"/>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ind w:right="0" w:rightChars="0"/>
                    <w:jc w:val="center"/>
                    <w:textAlignment w:val="auto"/>
                    <w:rPr>
                      <w:rFonts w:hint="default" w:ascii="Times New Roman" w:hAnsi="Times New Roman" w:eastAsia="CESI宋体-GB2312" w:cs="Times New Roman"/>
                      <w:b/>
                      <w:bCs/>
                      <w:color w:val="000000"/>
                      <w:sz w:val="21"/>
                      <w:szCs w:val="21"/>
                      <w:lang w:val="en-US" w:eastAsia="zh-CN"/>
                    </w:rPr>
                  </w:pPr>
                  <w:r>
                    <w:rPr>
                      <w:rFonts w:hint="default" w:ascii="Times New Roman" w:hAnsi="Times New Roman" w:eastAsia="CESI宋体-GB2312" w:cs="Times New Roman"/>
                      <w:b/>
                      <w:bCs/>
                      <w:color w:val="000000"/>
                      <w:sz w:val="21"/>
                      <w:szCs w:val="21"/>
                      <w:lang w:val="en-US" w:eastAsia="zh-CN"/>
                    </w:rPr>
                    <w:t>污染物</w:t>
                  </w:r>
                </w:p>
              </w:tc>
              <w:tc>
                <w:tcPr>
                  <w:tcW w:w="1911" w:type="pct"/>
                  <w:gridSpan w:val="3"/>
                  <w:noWrap w:val="0"/>
                  <w:vAlign w:val="center"/>
                </w:tcPr>
                <w:p w14:paraId="0CD43F73">
                  <w:pPr>
                    <w:pStyle w:val="10"/>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ind w:right="0" w:rightChars="0"/>
                    <w:jc w:val="center"/>
                    <w:textAlignment w:val="auto"/>
                    <w:rPr>
                      <w:rFonts w:hint="default" w:ascii="Times New Roman" w:hAnsi="Times New Roman" w:eastAsia="CESI宋体-GB2312" w:cs="Times New Roman"/>
                      <w:b/>
                      <w:bCs/>
                      <w:color w:val="000000"/>
                      <w:sz w:val="21"/>
                      <w:szCs w:val="21"/>
                      <w:lang w:val="en-US" w:eastAsia="zh-CN"/>
                    </w:rPr>
                  </w:pPr>
                  <w:r>
                    <w:rPr>
                      <w:rFonts w:hint="default" w:ascii="Times New Roman" w:hAnsi="Times New Roman" w:eastAsia="CESI宋体-GB2312" w:cs="Times New Roman"/>
                      <w:b/>
                      <w:bCs/>
                      <w:color w:val="000000"/>
                      <w:sz w:val="21"/>
                      <w:szCs w:val="21"/>
                      <w:lang w:val="en-US" w:eastAsia="zh-CN"/>
                    </w:rPr>
                    <w:t>环评批复措施</w:t>
                  </w:r>
                </w:p>
              </w:tc>
              <w:tc>
                <w:tcPr>
                  <w:tcW w:w="1956" w:type="pct"/>
                  <w:gridSpan w:val="3"/>
                  <w:noWrap w:val="0"/>
                  <w:vAlign w:val="center"/>
                </w:tcPr>
                <w:p w14:paraId="3B2A2D98">
                  <w:pPr>
                    <w:pStyle w:val="10"/>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ind w:right="0" w:rightChars="0"/>
                    <w:jc w:val="center"/>
                    <w:textAlignment w:val="auto"/>
                    <w:rPr>
                      <w:rFonts w:hint="default" w:ascii="Times New Roman" w:hAnsi="Times New Roman" w:eastAsia="CESI宋体-GB2312" w:cs="Times New Roman"/>
                      <w:b/>
                      <w:bCs/>
                      <w:color w:val="000000"/>
                      <w:sz w:val="21"/>
                      <w:szCs w:val="21"/>
                      <w:lang w:val="en-US" w:eastAsia="zh-CN"/>
                    </w:rPr>
                  </w:pPr>
                  <w:r>
                    <w:rPr>
                      <w:rFonts w:hint="default" w:ascii="Times New Roman" w:hAnsi="Times New Roman" w:eastAsia="CESI宋体-GB2312" w:cs="Times New Roman"/>
                      <w:b/>
                      <w:bCs/>
                      <w:color w:val="000000"/>
                      <w:sz w:val="21"/>
                      <w:szCs w:val="21"/>
                      <w:lang w:val="en-US" w:eastAsia="zh-CN"/>
                    </w:rPr>
                    <w:t>实际情况环保措施</w:t>
                  </w:r>
                </w:p>
              </w:tc>
              <w:tc>
                <w:tcPr>
                  <w:tcW w:w="679" w:type="pct"/>
                  <w:noWrap w:val="0"/>
                  <w:vAlign w:val="center"/>
                </w:tcPr>
                <w:p w14:paraId="1D37077D">
                  <w:pPr>
                    <w:pStyle w:val="10"/>
                    <w:keepNext w:val="0"/>
                    <w:keepLines w:val="0"/>
                    <w:pageBreakBefore w:val="0"/>
                    <w:widowControl w:val="0"/>
                    <w:numPr>
                      <w:ilvl w:val="0"/>
                      <w:numId w:val="0"/>
                    </w:numPr>
                    <w:kinsoku/>
                    <w:wordWrap/>
                    <w:overflowPunct/>
                    <w:topLinePunct w:val="0"/>
                    <w:autoSpaceDE/>
                    <w:autoSpaceDN/>
                    <w:bidi w:val="0"/>
                    <w:adjustRightInd/>
                    <w:snapToGrid w:val="0"/>
                    <w:spacing w:after="0" w:line="240" w:lineRule="auto"/>
                    <w:ind w:right="0" w:rightChars="0"/>
                    <w:jc w:val="center"/>
                    <w:textAlignment w:val="auto"/>
                    <w:rPr>
                      <w:rFonts w:hint="default" w:ascii="Times New Roman" w:hAnsi="Times New Roman" w:eastAsia="CESI宋体-GB2312" w:cs="Times New Roman"/>
                      <w:b/>
                      <w:bCs/>
                      <w:color w:val="000000"/>
                      <w:sz w:val="21"/>
                      <w:szCs w:val="21"/>
                      <w:lang w:val="en-US" w:eastAsia="zh-CN"/>
                    </w:rPr>
                  </w:pPr>
                  <w:r>
                    <w:rPr>
                      <w:rFonts w:hint="default" w:ascii="Times New Roman" w:hAnsi="Times New Roman" w:eastAsia="CESI宋体-GB2312" w:cs="Times New Roman"/>
                      <w:b/>
                      <w:bCs/>
                      <w:color w:val="000000"/>
                      <w:sz w:val="21"/>
                      <w:szCs w:val="21"/>
                      <w:lang w:val="en-US" w:eastAsia="zh-CN"/>
                    </w:rPr>
                    <w:t>变化情况</w:t>
                  </w:r>
                </w:p>
              </w:tc>
            </w:tr>
            <w:tr w14:paraId="5D399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3" w:type="pct"/>
                  <w:vMerge w:val="restart"/>
                  <w:noWrap w:val="0"/>
                  <w:vAlign w:val="center"/>
                </w:tcPr>
                <w:p w14:paraId="3492CF6F">
                  <w:pPr>
                    <w:widowControl w:val="0"/>
                    <w:jc w:val="center"/>
                    <w:rPr>
                      <w:rFonts w:hint="default" w:ascii="Times New Roman" w:hAnsi="Times New Roman" w:eastAsia="CESI宋体-GB2312" w:cs="Times New Roman"/>
                      <w:sz w:val="21"/>
                      <w:szCs w:val="21"/>
                      <w:vertAlign w:val="baseline"/>
                      <w:lang w:val="en-US" w:eastAsia="zh-CN"/>
                    </w:rPr>
                  </w:pPr>
                  <w:r>
                    <w:rPr>
                      <w:rFonts w:hint="default" w:ascii="Times New Roman" w:hAnsi="Times New Roman" w:eastAsia="CESI宋体-GB2312" w:cs="Times New Roman"/>
                      <w:sz w:val="21"/>
                      <w:szCs w:val="21"/>
                      <w:vertAlign w:val="baseline"/>
                      <w:lang w:val="en-US" w:eastAsia="zh-CN"/>
                    </w:rPr>
                    <w:t>废气</w:t>
                  </w:r>
                </w:p>
              </w:tc>
              <w:tc>
                <w:tcPr>
                  <w:tcW w:w="642" w:type="pct"/>
                  <w:shd w:val="clear" w:color="auto" w:fill="auto"/>
                  <w:noWrap w:val="0"/>
                  <w:vAlign w:val="center"/>
                </w:tcPr>
                <w:p w14:paraId="37F11DA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2"/>
                      <w:sz w:val="21"/>
                      <w:szCs w:val="21"/>
                      <w:highlight w:val="none"/>
                      <w:lang w:val="en-US" w:eastAsia="zh-CN" w:bidi="ar-SA"/>
                    </w:rPr>
                  </w:pPr>
                  <w:r>
                    <w:rPr>
                      <w:rFonts w:hint="default" w:ascii="Times New Roman" w:hAnsi="Times New Roman" w:eastAsia="宋体" w:cs="Times New Roman"/>
                      <w:bCs/>
                      <w:kern w:val="2"/>
                      <w:sz w:val="21"/>
                      <w:szCs w:val="21"/>
                      <w:highlight w:val="none"/>
                      <w:lang w:val="en-US" w:eastAsia="zh-CN" w:bidi="ar-SA"/>
                    </w:rPr>
                    <w:t>熔炼工序</w:t>
                  </w:r>
                </w:p>
              </w:tc>
              <w:tc>
                <w:tcPr>
                  <w:tcW w:w="601" w:type="pct"/>
                  <w:shd w:val="clear" w:color="auto" w:fill="auto"/>
                  <w:noWrap w:val="0"/>
                  <w:vAlign w:val="center"/>
                </w:tcPr>
                <w:p w14:paraId="5F3473E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2"/>
                      <w:sz w:val="21"/>
                      <w:szCs w:val="21"/>
                      <w:highlight w:val="none"/>
                      <w:lang w:val="en-US" w:eastAsia="zh-CN" w:bidi="ar-SA"/>
                    </w:rPr>
                  </w:pPr>
                  <w:r>
                    <w:rPr>
                      <w:rFonts w:hint="default" w:ascii="Times New Roman" w:hAnsi="Times New Roman" w:eastAsia="宋体" w:cs="Times New Roman"/>
                      <w:bCs/>
                      <w:kern w:val="2"/>
                      <w:sz w:val="21"/>
                      <w:szCs w:val="21"/>
                      <w:highlight w:val="none"/>
                      <w:lang w:val="en-US" w:eastAsia="zh-CN" w:bidi="ar-SA"/>
                    </w:rPr>
                    <w:t>袋式除尘器（1#）+活性炭吸附</w:t>
                  </w:r>
                </w:p>
              </w:tc>
              <w:tc>
                <w:tcPr>
                  <w:tcW w:w="667" w:type="pct"/>
                  <w:vMerge w:val="restart"/>
                  <w:shd w:val="clear" w:color="auto" w:fill="auto"/>
                  <w:noWrap w:val="0"/>
                  <w:vAlign w:val="center"/>
                </w:tcPr>
                <w:p w14:paraId="2F17F48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2"/>
                      <w:sz w:val="21"/>
                      <w:szCs w:val="21"/>
                      <w:highlight w:val="none"/>
                      <w:lang w:val="en-US" w:eastAsia="zh-CN" w:bidi="ar-SA"/>
                    </w:rPr>
                  </w:pPr>
                  <w:r>
                    <w:rPr>
                      <w:rFonts w:hint="default" w:ascii="Times New Roman" w:hAnsi="Times New Roman" w:eastAsia="宋体" w:cs="Times New Roman"/>
                      <w:bCs/>
                      <w:kern w:val="2"/>
                      <w:sz w:val="21"/>
                      <w:szCs w:val="21"/>
                      <w:highlight w:val="none"/>
                      <w:lang w:val="en-US" w:eastAsia="zh-CN" w:bidi="ar-SA"/>
                    </w:rPr>
                    <w:t>集中袋式除尘器（2#）+15m高排气筒（P1）</w:t>
                  </w:r>
                </w:p>
              </w:tc>
              <w:tc>
                <w:tcPr>
                  <w:tcW w:w="607" w:type="pct"/>
                  <w:shd w:val="clear" w:color="auto" w:fill="auto"/>
                  <w:noWrap w:val="0"/>
                  <w:vAlign w:val="center"/>
                </w:tcPr>
                <w:p w14:paraId="044185A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2"/>
                      <w:sz w:val="21"/>
                      <w:szCs w:val="21"/>
                      <w:highlight w:val="none"/>
                      <w:lang w:val="en-US" w:eastAsia="zh-CN" w:bidi="ar-SA"/>
                    </w:rPr>
                  </w:pPr>
                  <w:r>
                    <w:rPr>
                      <w:rFonts w:hint="default" w:ascii="Times New Roman" w:hAnsi="Times New Roman" w:eastAsia="宋体" w:cs="Times New Roman"/>
                      <w:bCs/>
                      <w:kern w:val="2"/>
                      <w:sz w:val="21"/>
                      <w:szCs w:val="21"/>
                      <w:highlight w:val="none"/>
                      <w:lang w:val="en-US" w:eastAsia="zh-CN" w:bidi="ar-SA"/>
                    </w:rPr>
                    <w:t>熔炼工序</w:t>
                  </w:r>
                </w:p>
              </w:tc>
              <w:tc>
                <w:tcPr>
                  <w:tcW w:w="690" w:type="pct"/>
                  <w:vMerge w:val="restart"/>
                  <w:shd w:val="clear" w:color="auto" w:fill="auto"/>
                  <w:noWrap w:val="0"/>
                  <w:vAlign w:val="center"/>
                </w:tcPr>
                <w:p w14:paraId="005B387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2"/>
                      <w:sz w:val="21"/>
                      <w:szCs w:val="21"/>
                      <w:highlight w:val="none"/>
                      <w:lang w:val="en-US" w:eastAsia="zh-CN" w:bidi="ar-SA"/>
                    </w:rPr>
                  </w:pPr>
                  <w:r>
                    <w:rPr>
                      <w:rFonts w:hint="default" w:ascii="Times New Roman" w:hAnsi="Times New Roman" w:eastAsia="宋体" w:cs="Times New Roman"/>
                      <w:bCs/>
                      <w:kern w:val="2"/>
                      <w:sz w:val="21"/>
                      <w:szCs w:val="21"/>
                      <w:highlight w:val="none"/>
                      <w:lang w:val="en-US" w:eastAsia="zh-CN" w:bidi="ar-SA"/>
                    </w:rPr>
                    <w:t>袋式除尘器（</w:t>
                  </w:r>
                  <w:r>
                    <w:rPr>
                      <w:rFonts w:hint="eastAsia" w:ascii="Times New Roman" w:hAnsi="Times New Roman" w:eastAsia="宋体" w:cs="Times New Roman"/>
                      <w:bCs/>
                      <w:kern w:val="2"/>
                      <w:sz w:val="21"/>
                      <w:szCs w:val="21"/>
                      <w:highlight w:val="none"/>
                      <w:lang w:val="en-US" w:eastAsia="zh-CN" w:bidi="ar-SA"/>
                    </w:rPr>
                    <w:t>TA001</w:t>
                  </w:r>
                  <w:r>
                    <w:rPr>
                      <w:rFonts w:hint="default" w:ascii="Times New Roman" w:hAnsi="Times New Roman" w:eastAsia="宋体" w:cs="Times New Roman"/>
                      <w:bCs/>
                      <w:kern w:val="2"/>
                      <w:sz w:val="21"/>
                      <w:szCs w:val="21"/>
                      <w:highlight w:val="none"/>
                      <w:lang w:val="en-US" w:eastAsia="zh-CN" w:bidi="ar-SA"/>
                    </w:rPr>
                    <w:t>）+活性炭吸附</w:t>
                  </w:r>
                  <w:r>
                    <w:rPr>
                      <w:rFonts w:hint="eastAsia" w:ascii="Times New Roman" w:hAnsi="Times New Roman" w:eastAsia="宋体" w:cs="Times New Roman"/>
                      <w:bCs/>
                      <w:kern w:val="2"/>
                      <w:sz w:val="21"/>
                      <w:szCs w:val="21"/>
                      <w:highlight w:val="none"/>
                      <w:lang w:val="en-US" w:eastAsia="zh-CN" w:bidi="ar-SA"/>
                    </w:rPr>
                    <w:t>（TA002）</w:t>
                  </w:r>
                </w:p>
                <w:p w14:paraId="260BEA4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2"/>
                      <w:sz w:val="21"/>
                      <w:szCs w:val="21"/>
                      <w:highlight w:val="none"/>
                      <w:lang w:val="en-US" w:eastAsia="zh-CN" w:bidi="ar-SA"/>
                    </w:rPr>
                  </w:pPr>
                </w:p>
              </w:tc>
              <w:tc>
                <w:tcPr>
                  <w:tcW w:w="658" w:type="pct"/>
                  <w:vMerge w:val="restart"/>
                  <w:shd w:val="clear" w:color="auto" w:fill="auto"/>
                  <w:noWrap w:val="0"/>
                  <w:vAlign w:val="center"/>
                </w:tcPr>
                <w:p w14:paraId="161BC4E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2"/>
                      <w:sz w:val="21"/>
                      <w:szCs w:val="21"/>
                      <w:highlight w:val="none"/>
                      <w:lang w:val="en-US" w:eastAsia="zh-CN" w:bidi="ar-SA"/>
                    </w:rPr>
                  </w:pPr>
                  <w:r>
                    <w:rPr>
                      <w:rFonts w:hint="default" w:ascii="Times New Roman" w:hAnsi="Times New Roman" w:eastAsia="宋体" w:cs="Times New Roman"/>
                      <w:bCs/>
                      <w:kern w:val="2"/>
                      <w:sz w:val="21"/>
                      <w:szCs w:val="21"/>
                      <w:highlight w:val="none"/>
                      <w:lang w:val="en-US" w:eastAsia="zh-CN" w:bidi="ar-SA"/>
                    </w:rPr>
                    <w:t>集中袋式除尘器（</w:t>
                  </w:r>
                  <w:r>
                    <w:rPr>
                      <w:rFonts w:hint="eastAsia" w:ascii="Times New Roman" w:hAnsi="Times New Roman" w:eastAsia="宋体" w:cs="Times New Roman"/>
                      <w:bCs/>
                      <w:kern w:val="2"/>
                      <w:sz w:val="21"/>
                      <w:szCs w:val="21"/>
                      <w:highlight w:val="none"/>
                      <w:lang w:val="en-US" w:eastAsia="zh-CN" w:bidi="ar-SA"/>
                    </w:rPr>
                    <w:t>TA006</w:t>
                  </w:r>
                  <w:r>
                    <w:rPr>
                      <w:rFonts w:hint="default" w:ascii="Times New Roman" w:hAnsi="Times New Roman" w:eastAsia="宋体" w:cs="Times New Roman"/>
                      <w:bCs/>
                      <w:kern w:val="2"/>
                      <w:sz w:val="21"/>
                      <w:szCs w:val="21"/>
                      <w:highlight w:val="none"/>
                      <w:lang w:val="en-US" w:eastAsia="zh-CN" w:bidi="ar-SA"/>
                    </w:rPr>
                    <w:t>）+15m高排气筒（P1）</w:t>
                  </w:r>
                </w:p>
              </w:tc>
              <w:tc>
                <w:tcPr>
                  <w:tcW w:w="679" w:type="pct"/>
                  <w:vMerge w:val="restart"/>
                  <w:noWrap w:val="0"/>
                  <w:vAlign w:val="center"/>
                </w:tcPr>
                <w:p w14:paraId="77A96FB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kern w:val="2"/>
                      <w:sz w:val="21"/>
                      <w:szCs w:val="21"/>
                      <w:highlight w:val="none"/>
                      <w:lang w:val="en-US" w:eastAsia="zh-CN" w:bidi="ar-SA"/>
                    </w:rPr>
                  </w:pPr>
                  <w:r>
                    <w:rPr>
                      <w:rFonts w:hint="default" w:ascii="Times New Roman" w:hAnsi="Times New Roman" w:eastAsia="宋体" w:cs="Times New Roman"/>
                      <w:bCs/>
                      <w:kern w:val="2"/>
                      <w:sz w:val="21"/>
                      <w:szCs w:val="21"/>
                      <w:highlight w:val="none"/>
                      <w:lang w:val="en-US" w:eastAsia="zh-CN" w:bidi="ar-SA"/>
                    </w:rPr>
                    <w:t>熔炼、浇注相距较近，共用1套除尘器</w:t>
                  </w:r>
                </w:p>
              </w:tc>
            </w:tr>
            <w:tr w14:paraId="1F844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453" w:type="pct"/>
                  <w:vMerge w:val="continue"/>
                  <w:noWrap w:val="0"/>
                  <w:vAlign w:val="center"/>
                </w:tcPr>
                <w:p w14:paraId="205FE0F0">
                  <w:pPr>
                    <w:widowControl w:val="0"/>
                    <w:jc w:val="center"/>
                    <w:rPr>
                      <w:rFonts w:hint="default" w:ascii="Times New Roman" w:hAnsi="Times New Roman" w:eastAsia="CESI宋体-GB2312" w:cs="Times New Roman"/>
                      <w:sz w:val="21"/>
                      <w:szCs w:val="21"/>
                      <w:vertAlign w:val="baseline"/>
                      <w:lang w:val="en-US" w:eastAsia="zh-CN"/>
                    </w:rPr>
                  </w:pPr>
                </w:p>
              </w:tc>
              <w:tc>
                <w:tcPr>
                  <w:tcW w:w="642" w:type="pct"/>
                  <w:shd w:val="clear" w:color="auto" w:fill="auto"/>
                  <w:noWrap w:val="0"/>
                  <w:vAlign w:val="center"/>
                </w:tcPr>
                <w:p w14:paraId="535C819B">
                  <w:pPr>
                    <w:pStyle w:val="24"/>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浇注工序</w:t>
                  </w:r>
                </w:p>
              </w:tc>
              <w:tc>
                <w:tcPr>
                  <w:tcW w:w="601" w:type="pct"/>
                  <w:shd w:val="clear" w:color="auto" w:fill="auto"/>
                  <w:noWrap w:val="0"/>
                  <w:vAlign w:val="center"/>
                </w:tcPr>
                <w:p w14:paraId="588F1556">
                  <w:pPr>
                    <w:keepNext w:val="0"/>
                    <w:keepLines w:val="0"/>
                    <w:pageBreakBefore w:val="0"/>
                    <w:widowControl/>
                    <w:tabs>
                      <w:tab w:val="left" w:pos="1970"/>
                    </w:tabs>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袋式除尘器（4#）</w:t>
                  </w:r>
                </w:p>
              </w:tc>
              <w:tc>
                <w:tcPr>
                  <w:tcW w:w="667" w:type="pct"/>
                  <w:vMerge w:val="continue"/>
                  <w:shd w:val="clear" w:color="auto" w:fill="auto"/>
                  <w:noWrap w:val="0"/>
                  <w:vAlign w:val="center"/>
                </w:tcPr>
                <w:p w14:paraId="5284114A">
                  <w:pPr>
                    <w:pStyle w:val="24"/>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bCs/>
                      <w:color w:val="auto"/>
                      <w:kern w:val="2"/>
                      <w:sz w:val="21"/>
                      <w:szCs w:val="21"/>
                      <w:highlight w:val="none"/>
                      <w:lang w:val="en-US" w:eastAsia="zh-CN" w:bidi="ar-SA"/>
                    </w:rPr>
                  </w:pPr>
                </w:p>
              </w:tc>
              <w:tc>
                <w:tcPr>
                  <w:tcW w:w="607" w:type="pct"/>
                  <w:shd w:val="clear" w:color="auto" w:fill="auto"/>
                  <w:noWrap w:val="0"/>
                  <w:vAlign w:val="center"/>
                </w:tcPr>
                <w:p w14:paraId="47ADB3B1">
                  <w:pPr>
                    <w:pStyle w:val="24"/>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浇注工序</w:t>
                  </w:r>
                </w:p>
              </w:tc>
              <w:tc>
                <w:tcPr>
                  <w:tcW w:w="690" w:type="pct"/>
                  <w:vMerge w:val="continue"/>
                  <w:shd w:val="clear" w:color="auto" w:fill="auto"/>
                  <w:noWrap w:val="0"/>
                  <w:vAlign w:val="center"/>
                </w:tcPr>
                <w:p w14:paraId="1676EBA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kern w:val="2"/>
                      <w:sz w:val="21"/>
                      <w:szCs w:val="21"/>
                      <w:highlight w:val="none"/>
                      <w:lang w:val="en-US" w:eastAsia="zh-CN" w:bidi="ar-SA"/>
                    </w:rPr>
                  </w:pPr>
                </w:p>
              </w:tc>
              <w:tc>
                <w:tcPr>
                  <w:tcW w:w="658" w:type="pct"/>
                  <w:vMerge w:val="continue"/>
                  <w:shd w:val="clear" w:color="auto" w:fill="auto"/>
                  <w:noWrap w:val="0"/>
                  <w:vAlign w:val="center"/>
                </w:tcPr>
                <w:p w14:paraId="36D49A3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kern w:val="2"/>
                      <w:sz w:val="21"/>
                      <w:szCs w:val="21"/>
                      <w:highlight w:val="none"/>
                      <w:lang w:val="en-US" w:eastAsia="zh-CN" w:bidi="ar-SA"/>
                    </w:rPr>
                  </w:pPr>
                </w:p>
              </w:tc>
              <w:tc>
                <w:tcPr>
                  <w:tcW w:w="679" w:type="pct"/>
                  <w:vMerge w:val="continue"/>
                  <w:noWrap w:val="0"/>
                  <w:vAlign w:val="center"/>
                </w:tcPr>
                <w:p w14:paraId="66CCB21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kern w:val="2"/>
                      <w:sz w:val="21"/>
                      <w:szCs w:val="21"/>
                      <w:highlight w:val="none"/>
                      <w:lang w:val="en-US" w:eastAsia="zh-CN" w:bidi="ar-SA"/>
                    </w:rPr>
                  </w:pPr>
                </w:p>
              </w:tc>
            </w:tr>
            <w:tr w14:paraId="774D4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453" w:type="pct"/>
                  <w:vMerge w:val="continue"/>
                  <w:noWrap w:val="0"/>
                  <w:vAlign w:val="center"/>
                </w:tcPr>
                <w:p w14:paraId="4CADD5E7">
                  <w:pPr>
                    <w:widowControl w:val="0"/>
                    <w:jc w:val="center"/>
                    <w:rPr>
                      <w:rFonts w:hint="default" w:ascii="Times New Roman" w:hAnsi="Times New Roman" w:eastAsia="CESI宋体-GB2312" w:cs="Times New Roman"/>
                      <w:sz w:val="21"/>
                      <w:szCs w:val="21"/>
                      <w:vertAlign w:val="baseline"/>
                      <w:lang w:val="en-US" w:eastAsia="zh-CN"/>
                    </w:rPr>
                  </w:pPr>
                </w:p>
              </w:tc>
              <w:tc>
                <w:tcPr>
                  <w:tcW w:w="642" w:type="pct"/>
                  <w:shd w:val="clear" w:color="auto" w:fill="auto"/>
                  <w:noWrap w:val="0"/>
                  <w:vAlign w:val="center"/>
                </w:tcPr>
                <w:p w14:paraId="622A5746">
                  <w:pPr>
                    <w:pStyle w:val="24"/>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造型制芯</w:t>
                  </w:r>
                </w:p>
              </w:tc>
              <w:tc>
                <w:tcPr>
                  <w:tcW w:w="601" w:type="pct"/>
                  <w:shd w:val="clear" w:color="auto" w:fill="auto"/>
                  <w:noWrap w:val="0"/>
                  <w:vAlign w:val="center"/>
                </w:tcPr>
                <w:p w14:paraId="30E53178">
                  <w:pPr>
                    <w:keepNext w:val="0"/>
                    <w:keepLines w:val="0"/>
                    <w:pageBreakBefore w:val="0"/>
                    <w:widowControl/>
                    <w:tabs>
                      <w:tab w:val="left" w:pos="1970"/>
                    </w:tabs>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袋式除尘器（3#）</w:t>
                  </w:r>
                </w:p>
              </w:tc>
              <w:tc>
                <w:tcPr>
                  <w:tcW w:w="667" w:type="pct"/>
                  <w:vMerge w:val="continue"/>
                  <w:shd w:val="clear" w:color="auto" w:fill="auto"/>
                  <w:noWrap w:val="0"/>
                  <w:vAlign w:val="center"/>
                </w:tcPr>
                <w:p w14:paraId="6F9B8743">
                  <w:pPr>
                    <w:pStyle w:val="24"/>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bCs/>
                      <w:color w:val="auto"/>
                      <w:kern w:val="2"/>
                      <w:sz w:val="21"/>
                      <w:szCs w:val="21"/>
                      <w:highlight w:val="none"/>
                      <w:lang w:val="en-US" w:eastAsia="zh-CN" w:bidi="ar-SA"/>
                    </w:rPr>
                  </w:pPr>
                </w:p>
              </w:tc>
              <w:tc>
                <w:tcPr>
                  <w:tcW w:w="607" w:type="pct"/>
                  <w:shd w:val="clear" w:color="auto" w:fill="auto"/>
                  <w:noWrap w:val="0"/>
                  <w:vAlign w:val="center"/>
                </w:tcPr>
                <w:p w14:paraId="0F96D5D8">
                  <w:pPr>
                    <w:pStyle w:val="24"/>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造型制芯</w:t>
                  </w:r>
                </w:p>
              </w:tc>
              <w:tc>
                <w:tcPr>
                  <w:tcW w:w="690" w:type="pct"/>
                  <w:vMerge w:val="restart"/>
                  <w:shd w:val="clear" w:color="auto" w:fill="auto"/>
                  <w:noWrap w:val="0"/>
                  <w:vAlign w:val="center"/>
                </w:tcPr>
                <w:p w14:paraId="116E362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袋式除尘器（</w:t>
                  </w:r>
                  <w:r>
                    <w:rPr>
                      <w:rFonts w:hint="eastAsia" w:ascii="Times New Roman" w:hAnsi="Times New Roman" w:eastAsia="宋体" w:cs="Times New Roman"/>
                      <w:bCs/>
                      <w:color w:val="auto"/>
                      <w:kern w:val="2"/>
                      <w:sz w:val="21"/>
                      <w:szCs w:val="21"/>
                      <w:highlight w:val="none"/>
                      <w:lang w:val="en-US" w:eastAsia="zh-CN" w:bidi="ar-SA"/>
                    </w:rPr>
                    <w:t>TA003</w:t>
                  </w:r>
                  <w:r>
                    <w:rPr>
                      <w:rFonts w:hint="default" w:ascii="Times New Roman" w:hAnsi="Times New Roman" w:eastAsia="宋体" w:cs="Times New Roman"/>
                      <w:bCs/>
                      <w:color w:val="auto"/>
                      <w:kern w:val="2"/>
                      <w:sz w:val="21"/>
                      <w:szCs w:val="21"/>
                      <w:highlight w:val="none"/>
                      <w:lang w:val="en-US" w:eastAsia="zh-CN" w:bidi="ar-SA"/>
                    </w:rPr>
                    <w:t>）</w:t>
                  </w:r>
                </w:p>
                <w:p w14:paraId="0E7FFC7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kern w:val="2"/>
                      <w:sz w:val="21"/>
                      <w:szCs w:val="21"/>
                      <w:highlight w:val="none"/>
                      <w:lang w:val="en-US" w:eastAsia="zh-CN" w:bidi="ar-SA"/>
                    </w:rPr>
                  </w:pPr>
                </w:p>
              </w:tc>
              <w:tc>
                <w:tcPr>
                  <w:tcW w:w="658" w:type="pct"/>
                  <w:vMerge w:val="continue"/>
                  <w:shd w:val="clear" w:color="auto" w:fill="auto"/>
                  <w:noWrap w:val="0"/>
                  <w:vAlign w:val="center"/>
                </w:tcPr>
                <w:p w14:paraId="4D682BF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kern w:val="2"/>
                      <w:sz w:val="21"/>
                      <w:szCs w:val="21"/>
                      <w:highlight w:val="none"/>
                      <w:lang w:val="en-US" w:eastAsia="zh-CN" w:bidi="ar-SA"/>
                    </w:rPr>
                  </w:pPr>
                </w:p>
              </w:tc>
              <w:tc>
                <w:tcPr>
                  <w:tcW w:w="679" w:type="pct"/>
                  <w:vMerge w:val="restart"/>
                  <w:noWrap w:val="0"/>
                  <w:vAlign w:val="center"/>
                </w:tcPr>
                <w:p w14:paraId="42D4384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造型、混砂相距较近，共用1套除尘器</w:t>
                  </w:r>
                </w:p>
              </w:tc>
            </w:tr>
            <w:tr w14:paraId="4038C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453" w:type="pct"/>
                  <w:vMerge w:val="continue"/>
                  <w:noWrap w:val="0"/>
                  <w:vAlign w:val="center"/>
                </w:tcPr>
                <w:p w14:paraId="211630D3">
                  <w:pPr>
                    <w:widowControl w:val="0"/>
                    <w:jc w:val="center"/>
                    <w:rPr>
                      <w:rFonts w:hint="default" w:ascii="Times New Roman" w:hAnsi="Times New Roman" w:eastAsia="CESI宋体-GB2312" w:cs="Times New Roman"/>
                      <w:sz w:val="21"/>
                      <w:szCs w:val="21"/>
                      <w:vertAlign w:val="baseline"/>
                      <w:lang w:val="en-US" w:eastAsia="zh-CN"/>
                    </w:rPr>
                  </w:pPr>
                </w:p>
              </w:tc>
              <w:tc>
                <w:tcPr>
                  <w:tcW w:w="642" w:type="pct"/>
                  <w:shd w:val="clear" w:color="auto" w:fill="auto"/>
                  <w:noWrap w:val="0"/>
                  <w:vAlign w:val="center"/>
                </w:tcPr>
                <w:p w14:paraId="59A3753D">
                  <w:pPr>
                    <w:pStyle w:val="24"/>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混砂工序</w:t>
                  </w:r>
                </w:p>
              </w:tc>
              <w:tc>
                <w:tcPr>
                  <w:tcW w:w="601" w:type="pct"/>
                  <w:shd w:val="clear" w:color="auto" w:fill="auto"/>
                  <w:noWrap w:val="0"/>
                  <w:vAlign w:val="center"/>
                </w:tcPr>
                <w:p w14:paraId="6B75EFB2">
                  <w:pPr>
                    <w:keepNext w:val="0"/>
                    <w:keepLines w:val="0"/>
                    <w:pageBreakBefore w:val="0"/>
                    <w:widowControl/>
                    <w:tabs>
                      <w:tab w:val="left" w:pos="1970"/>
                    </w:tabs>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袋式除尘器（5#）</w:t>
                  </w:r>
                </w:p>
              </w:tc>
              <w:tc>
                <w:tcPr>
                  <w:tcW w:w="667" w:type="pct"/>
                  <w:vMerge w:val="continue"/>
                  <w:shd w:val="clear" w:color="auto" w:fill="auto"/>
                  <w:noWrap w:val="0"/>
                  <w:vAlign w:val="center"/>
                </w:tcPr>
                <w:p w14:paraId="481802DB">
                  <w:pPr>
                    <w:pStyle w:val="24"/>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bCs/>
                      <w:color w:val="auto"/>
                      <w:kern w:val="2"/>
                      <w:sz w:val="21"/>
                      <w:szCs w:val="21"/>
                      <w:highlight w:val="none"/>
                      <w:lang w:val="en-US" w:eastAsia="zh-CN" w:bidi="ar-SA"/>
                    </w:rPr>
                  </w:pPr>
                </w:p>
              </w:tc>
              <w:tc>
                <w:tcPr>
                  <w:tcW w:w="607" w:type="pct"/>
                  <w:shd w:val="clear" w:color="auto" w:fill="auto"/>
                  <w:noWrap w:val="0"/>
                  <w:vAlign w:val="center"/>
                </w:tcPr>
                <w:p w14:paraId="5B02ED2F">
                  <w:pPr>
                    <w:pStyle w:val="24"/>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混砂工序</w:t>
                  </w:r>
                </w:p>
              </w:tc>
              <w:tc>
                <w:tcPr>
                  <w:tcW w:w="690" w:type="pct"/>
                  <w:vMerge w:val="continue"/>
                  <w:shd w:val="clear" w:color="auto" w:fill="auto"/>
                  <w:noWrap w:val="0"/>
                  <w:vAlign w:val="center"/>
                </w:tcPr>
                <w:p w14:paraId="19AA211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kern w:val="2"/>
                      <w:sz w:val="21"/>
                      <w:szCs w:val="21"/>
                      <w:highlight w:val="none"/>
                      <w:lang w:val="en-US" w:eastAsia="zh-CN" w:bidi="ar-SA"/>
                    </w:rPr>
                  </w:pPr>
                </w:p>
              </w:tc>
              <w:tc>
                <w:tcPr>
                  <w:tcW w:w="658" w:type="pct"/>
                  <w:vMerge w:val="continue"/>
                  <w:shd w:val="clear" w:color="auto" w:fill="auto"/>
                  <w:noWrap w:val="0"/>
                  <w:vAlign w:val="center"/>
                </w:tcPr>
                <w:p w14:paraId="1BAFE34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kern w:val="2"/>
                      <w:sz w:val="21"/>
                      <w:szCs w:val="21"/>
                      <w:highlight w:val="none"/>
                      <w:lang w:val="en-US" w:eastAsia="zh-CN" w:bidi="ar-SA"/>
                    </w:rPr>
                  </w:pPr>
                </w:p>
              </w:tc>
              <w:tc>
                <w:tcPr>
                  <w:tcW w:w="679" w:type="pct"/>
                  <w:vMerge w:val="continue"/>
                  <w:noWrap w:val="0"/>
                  <w:vAlign w:val="center"/>
                </w:tcPr>
                <w:p w14:paraId="5339CDC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kern w:val="2"/>
                      <w:sz w:val="21"/>
                      <w:szCs w:val="21"/>
                      <w:highlight w:val="none"/>
                      <w:lang w:val="en-US" w:eastAsia="zh-CN" w:bidi="ar-SA"/>
                    </w:rPr>
                  </w:pPr>
                </w:p>
              </w:tc>
            </w:tr>
            <w:tr w14:paraId="55DA8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453" w:type="pct"/>
                  <w:vMerge w:val="continue"/>
                  <w:noWrap w:val="0"/>
                  <w:vAlign w:val="center"/>
                </w:tcPr>
                <w:p w14:paraId="7246B59B">
                  <w:pPr>
                    <w:widowControl w:val="0"/>
                    <w:jc w:val="center"/>
                    <w:rPr>
                      <w:rFonts w:hint="default" w:ascii="Times New Roman" w:hAnsi="Times New Roman" w:eastAsia="CESI宋体-GB2312" w:cs="Times New Roman"/>
                      <w:sz w:val="21"/>
                      <w:szCs w:val="21"/>
                      <w:vertAlign w:val="baseline"/>
                      <w:lang w:val="en-US" w:eastAsia="zh-CN"/>
                    </w:rPr>
                  </w:pPr>
                </w:p>
              </w:tc>
              <w:tc>
                <w:tcPr>
                  <w:tcW w:w="642" w:type="pct"/>
                  <w:shd w:val="clear" w:color="auto" w:fill="auto"/>
                  <w:noWrap w:val="0"/>
                  <w:vAlign w:val="center"/>
                </w:tcPr>
                <w:p w14:paraId="1552430C">
                  <w:pPr>
                    <w:pStyle w:val="24"/>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落砂、旧砂处理工序</w:t>
                  </w:r>
                </w:p>
              </w:tc>
              <w:tc>
                <w:tcPr>
                  <w:tcW w:w="601" w:type="pct"/>
                  <w:shd w:val="clear" w:color="auto" w:fill="auto"/>
                  <w:noWrap w:val="0"/>
                  <w:vAlign w:val="center"/>
                </w:tcPr>
                <w:p w14:paraId="50289CDA">
                  <w:pPr>
                    <w:keepNext w:val="0"/>
                    <w:keepLines w:val="0"/>
                    <w:pageBreakBefore w:val="0"/>
                    <w:widowControl/>
                    <w:tabs>
                      <w:tab w:val="left" w:pos="1970"/>
                    </w:tabs>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袋式除尘器（6#）</w:t>
                  </w:r>
                </w:p>
              </w:tc>
              <w:tc>
                <w:tcPr>
                  <w:tcW w:w="667" w:type="pct"/>
                  <w:vMerge w:val="continue"/>
                  <w:shd w:val="clear" w:color="auto" w:fill="auto"/>
                  <w:noWrap w:val="0"/>
                  <w:vAlign w:val="center"/>
                </w:tcPr>
                <w:p w14:paraId="74357CAB">
                  <w:pPr>
                    <w:pStyle w:val="24"/>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bCs/>
                      <w:color w:val="auto"/>
                      <w:kern w:val="2"/>
                      <w:sz w:val="21"/>
                      <w:szCs w:val="21"/>
                      <w:highlight w:val="none"/>
                      <w:lang w:val="en-US" w:eastAsia="zh-CN" w:bidi="ar-SA"/>
                    </w:rPr>
                  </w:pPr>
                </w:p>
              </w:tc>
              <w:tc>
                <w:tcPr>
                  <w:tcW w:w="607" w:type="pct"/>
                  <w:shd w:val="clear" w:color="auto" w:fill="auto"/>
                  <w:noWrap w:val="0"/>
                  <w:vAlign w:val="center"/>
                </w:tcPr>
                <w:p w14:paraId="61D12FFD">
                  <w:pPr>
                    <w:pStyle w:val="24"/>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落砂、旧砂处理工序</w:t>
                  </w:r>
                </w:p>
              </w:tc>
              <w:tc>
                <w:tcPr>
                  <w:tcW w:w="690" w:type="pct"/>
                  <w:shd w:val="clear" w:color="auto" w:fill="auto"/>
                  <w:noWrap w:val="0"/>
                  <w:vAlign w:val="center"/>
                </w:tcPr>
                <w:p w14:paraId="5310687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w:t>
                  </w:r>
                </w:p>
              </w:tc>
              <w:tc>
                <w:tcPr>
                  <w:tcW w:w="658" w:type="pct"/>
                  <w:vMerge w:val="continue"/>
                  <w:shd w:val="clear" w:color="auto" w:fill="auto"/>
                  <w:noWrap w:val="0"/>
                  <w:vAlign w:val="center"/>
                </w:tcPr>
                <w:p w14:paraId="6005DC6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kern w:val="2"/>
                      <w:sz w:val="21"/>
                      <w:szCs w:val="21"/>
                      <w:highlight w:val="none"/>
                      <w:lang w:val="en-US" w:eastAsia="zh-CN" w:bidi="ar-SA"/>
                    </w:rPr>
                  </w:pPr>
                </w:p>
              </w:tc>
              <w:tc>
                <w:tcPr>
                  <w:tcW w:w="679" w:type="pct"/>
                  <w:noWrap w:val="0"/>
                  <w:vAlign w:val="center"/>
                </w:tcPr>
                <w:p w14:paraId="7239441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二期建设</w:t>
                  </w:r>
                </w:p>
              </w:tc>
            </w:tr>
            <w:tr w14:paraId="4915F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trPr>
              <w:tc>
                <w:tcPr>
                  <w:tcW w:w="453" w:type="pct"/>
                  <w:vMerge w:val="continue"/>
                  <w:noWrap w:val="0"/>
                  <w:vAlign w:val="center"/>
                </w:tcPr>
                <w:p w14:paraId="274168CB">
                  <w:pPr>
                    <w:widowControl w:val="0"/>
                    <w:jc w:val="center"/>
                    <w:rPr>
                      <w:rFonts w:hint="default" w:ascii="Times New Roman" w:hAnsi="Times New Roman" w:eastAsia="CESI宋体-GB2312" w:cs="Times New Roman"/>
                      <w:sz w:val="21"/>
                      <w:szCs w:val="21"/>
                      <w:vertAlign w:val="baseline"/>
                      <w:lang w:val="en-US" w:eastAsia="zh-CN"/>
                    </w:rPr>
                  </w:pPr>
                </w:p>
              </w:tc>
              <w:tc>
                <w:tcPr>
                  <w:tcW w:w="642" w:type="pct"/>
                  <w:shd w:val="clear" w:color="auto" w:fill="auto"/>
                  <w:noWrap w:val="0"/>
                  <w:vAlign w:val="center"/>
                </w:tcPr>
                <w:p w14:paraId="0D583F4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割冒口工序</w:t>
                  </w:r>
                </w:p>
              </w:tc>
              <w:tc>
                <w:tcPr>
                  <w:tcW w:w="601" w:type="pct"/>
                  <w:shd w:val="clear" w:color="auto" w:fill="auto"/>
                  <w:noWrap w:val="0"/>
                  <w:vAlign w:val="center"/>
                </w:tcPr>
                <w:p w14:paraId="2F0CB6F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袋式除尘器（7#）</w:t>
                  </w:r>
                </w:p>
              </w:tc>
              <w:tc>
                <w:tcPr>
                  <w:tcW w:w="667" w:type="pct"/>
                  <w:vMerge w:val="continue"/>
                  <w:shd w:val="clear" w:color="auto" w:fill="auto"/>
                  <w:noWrap w:val="0"/>
                  <w:vAlign w:val="center"/>
                </w:tcPr>
                <w:p w14:paraId="0BADE3F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kern w:val="2"/>
                      <w:sz w:val="21"/>
                      <w:szCs w:val="21"/>
                      <w:highlight w:val="none"/>
                      <w:lang w:val="en-US" w:eastAsia="zh-CN" w:bidi="ar-SA"/>
                    </w:rPr>
                  </w:pPr>
                </w:p>
              </w:tc>
              <w:tc>
                <w:tcPr>
                  <w:tcW w:w="607" w:type="pct"/>
                  <w:shd w:val="clear" w:color="auto" w:fill="auto"/>
                  <w:noWrap w:val="0"/>
                  <w:vAlign w:val="center"/>
                </w:tcPr>
                <w:p w14:paraId="0359811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割冒口工序</w:t>
                  </w:r>
                </w:p>
              </w:tc>
              <w:tc>
                <w:tcPr>
                  <w:tcW w:w="690" w:type="pct"/>
                  <w:shd w:val="clear" w:color="auto" w:fill="auto"/>
                  <w:noWrap w:val="0"/>
                  <w:vAlign w:val="center"/>
                </w:tcPr>
                <w:p w14:paraId="76E683D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袋式除尘器（</w:t>
                  </w:r>
                  <w:r>
                    <w:rPr>
                      <w:rFonts w:hint="eastAsia" w:ascii="Times New Roman" w:hAnsi="Times New Roman" w:eastAsia="宋体" w:cs="Times New Roman"/>
                      <w:bCs/>
                      <w:color w:val="auto"/>
                      <w:kern w:val="2"/>
                      <w:sz w:val="21"/>
                      <w:szCs w:val="21"/>
                      <w:highlight w:val="none"/>
                      <w:lang w:val="en-US" w:eastAsia="zh-CN" w:bidi="ar-SA"/>
                    </w:rPr>
                    <w:t>TA004</w:t>
                  </w:r>
                  <w:r>
                    <w:rPr>
                      <w:rFonts w:hint="default" w:ascii="Times New Roman" w:hAnsi="Times New Roman" w:eastAsia="宋体" w:cs="Times New Roman"/>
                      <w:bCs/>
                      <w:color w:val="auto"/>
                      <w:kern w:val="2"/>
                      <w:sz w:val="21"/>
                      <w:szCs w:val="21"/>
                      <w:highlight w:val="none"/>
                      <w:lang w:val="en-US" w:eastAsia="zh-CN" w:bidi="ar-SA"/>
                    </w:rPr>
                    <w:t>）</w:t>
                  </w:r>
                </w:p>
              </w:tc>
              <w:tc>
                <w:tcPr>
                  <w:tcW w:w="658" w:type="pct"/>
                  <w:vMerge w:val="continue"/>
                  <w:shd w:val="clear" w:color="auto" w:fill="auto"/>
                  <w:noWrap w:val="0"/>
                  <w:vAlign w:val="center"/>
                </w:tcPr>
                <w:p w14:paraId="101067E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kern w:val="2"/>
                      <w:sz w:val="21"/>
                      <w:szCs w:val="21"/>
                      <w:highlight w:val="none"/>
                      <w:lang w:val="en-US" w:eastAsia="zh-CN" w:bidi="ar-SA"/>
                    </w:rPr>
                  </w:pPr>
                </w:p>
              </w:tc>
              <w:tc>
                <w:tcPr>
                  <w:tcW w:w="679" w:type="pct"/>
                  <w:noWrap w:val="0"/>
                  <w:vAlign w:val="center"/>
                </w:tcPr>
                <w:p w14:paraId="1DCB787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未变化</w:t>
                  </w:r>
                </w:p>
              </w:tc>
            </w:tr>
            <w:tr w14:paraId="66FAD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trPr>
              <w:tc>
                <w:tcPr>
                  <w:tcW w:w="453" w:type="pct"/>
                  <w:vMerge w:val="continue"/>
                  <w:noWrap w:val="0"/>
                  <w:vAlign w:val="center"/>
                </w:tcPr>
                <w:p w14:paraId="770108E3">
                  <w:pPr>
                    <w:widowControl w:val="0"/>
                    <w:jc w:val="center"/>
                    <w:rPr>
                      <w:rFonts w:hint="default" w:ascii="Times New Roman" w:hAnsi="Times New Roman" w:eastAsia="CESI宋体-GB2312" w:cs="Times New Roman"/>
                      <w:sz w:val="21"/>
                      <w:szCs w:val="21"/>
                      <w:vertAlign w:val="baseline"/>
                      <w:lang w:val="en-US" w:eastAsia="zh-CN"/>
                    </w:rPr>
                  </w:pPr>
                </w:p>
              </w:tc>
              <w:tc>
                <w:tcPr>
                  <w:tcW w:w="642" w:type="pct"/>
                  <w:shd w:val="clear" w:color="auto" w:fill="auto"/>
                  <w:noWrap w:val="0"/>
                  <w:vAlign w:val="center"/>
                </w:tcPr>
                <w:p w14:paraId="12BBF909">
                  <w:pPr>
                    <w:pStyle w:val="24"/>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抛丸工序</w:t>
                  </w:r>
                </w:p>
              </w:tc>
              <w:tc>
                <w:tcPr>
                  <w:tcW w:w="601" w:type="pct"/>
                  <w:shd w:val="clear" w:color="auto" w:fill="auto"/>
                  <w:noWrap w:val="0"/>
                  <w:vAlign w:val="center"/>
                </w:tcPr>
                <w:p w14:paraId="3882A7E6">
                  <w:pPr>
                    <w:keepNext w:val="0"/>
                    <w:keepLines w:val="0"/>
                    <w:pageBreakBefore w:val="0"/>
                    <w:widowControl/>
                    <w:tabs>
                      <w:tab w:val="left" w:pos="1970"/>
                    </w:tabs>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脉冲除尘器（8#）</w:t>
                  </w:r>
                </w:p>
              </w:tc>
              <w:tc>
                <w:tcPr>
                  <w:tcW w:w="667" w:type="pct"/>
                  <w:vMerge w:val="continue"/>
                  <w:shd w:val="clear" w:color="auto" w:fill="auto"/>
                  <w:noWrap w:val="0"/>
                  <w:vAlign w:val="center"/>
                </w:tcPr>
                <w:p w14:paraId="61710E1A">
                  <w:pPr>
                    <w:pStyle w:val="24"/>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bCs/>
                      <w:color w:val="auto"/>
                      <w:kern w:val="2"/>
                      <w:sz w:val="21"/>
                      <w:szCs w:val="21"/>
                      <w:highlight w:val="none"/>
                      <w:lang w:val="en-US" w:eastAsia="zh-CN" w:bidi="ar-SA"/>
                    </w:rPr>
                  </w:pPr>
                </w:p>
              </w:tc>
              <w:tc>
                <w:tcPr>
                  <w:tcW w:w="607" w:type="pct"/>
                  <w:shd w:val="clear" w:color="auto" w:fill="auto"/>
                  <w:noWrap w:val="0"/>
                  <w:vAlign w:val="center"/>
                </w:tcPr>
                <w:p w14:paraId="42D806BB">
                  <w:pPr>
                    <w:pStyle w:val="24"/>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抛丸工序</w:t>
                  </w:r>
                </w:p>
              </w:tc>
              <w:tc>
                <w:tcPr>
                  <w:tcW w:w="690" w:type="pct"/>
                  <w:shd w:val="clear" w:color="auto" w:fill="auto"/>
                  <w:noWrap w:val="0"/>
                  <w:vAlign w:val="center"/>
                </w:tcPr>
                <w:p w14:paraId="21BA372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脉冲除尘器（</w:t>
                  </w:r>
                  <w:r>
                    <w:rPr>
                      <w:rFonts w:hint="eastAsia" w:ascii="Times New Roman" w:hAnsi="Times New Roman" w:eastAsia="宋体" w:cs="Times New Roman"/>
                      <w:bCs/>
                      <w:color w:val="auto"/>
                      <w:kern w:val="2"/>
                      <w:sz w:val="21"/>
                      <w:szCs w:val="21"/>
                      <w:highlight w:val="none"/>
                      <w:lang w:val="en-US" w:eastAsia="zh-CN" w:bidi="ar-SA"/>
                    </w:rPr>
                    <w:t>TA005</w:t>
                  </w:r>
                  <w:r>
                    <w:rPr>
                      <w:rFonts w:hint="default" w:ascii="Times New Roman" w:hAnsi="Times New Roman" w:eastAsia="宋体" w:cs="Times New Roman"/>
                      <w:bCs/>
                      <w:color w:val="auto"/>
                      <w:kern w:val="2"/>
                      <w:sz w:val="21"/>
                      <w:szCs w:val="21"/>
                      <w:highlight w:val="none"/>
                      <w:lang w:val="en-US" w:eastAsia="zh-CN" w:bidi="ar-SA"/>
                    </w:rPr>
                    <w:t>）</w:t>
                  </w:r>
                </w:p>
              </w:tc>
              <w:tc>
                <w:tcPr>
                  <w:tcW w:w="658" w:type="pct"/>
                  <w:vMerge w:val="continue"/>
                  <w:shd w:val="clear" w:color="auto" w:fill="auto"/>
                  <w:noWrap w:val="0"/>
                  <w:vAlign w:val="center"/>
                </w:tcPr>
                <w:p w14:paraId="075AE28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kern w:val="2"/>
                      <w:sz w:val="21"/>
                      <w:szCs w:val="21"/>
                      <w:highlight w:val="none"/>
                      <w:lang w:val="en-US" w:eastAsia="zh-CN" w:bidi="ar-SA"/>
                    </w:rPr>
                  </w:pPr>
                </w:p>
              </w:tc>
              <w:tc>
                <w:tcPr>
                  <w:tcW w:w="679" w:type="pct"/>
                  <w:noWrap w:val="0"/>
                  <w:vAlign w:val="center"/>
                </w:tcPr>
                <w:p w14:paraId="0F4B09A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kern w:val="2"/>
                      <w:sz w:val="21"/>
                      <w:szCs w:val="21"/>
                      <w:highlight w:val="none"/>
                      <w:lang w:val="en-US" w:eastAsia="zh-CN" w:bidi="ar-SA"/>
                    </w:rPr>
                    <w:t>未变化</w:t>
                  </w:r>
                </w:p>
              </w:tc>
            </w:tr>
            <w:tr w14:paraId="20C36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453" w:type="pct"/>
                  <w:vMerge w:val="restart"/>
                  <w:noWrap w:val="0"/>
                  <w:vAlign w:val="center"/>
                </w:tcPr>
                <w:p w14:paraId="1CD6D74F">
                  <w:pPr>
                    <w:keepNext w:val="0"/>
                    <w:keepLines w:val="0"/>
                    <w:pageBreakBefore w:val="0"/>
                    <w:widowControl/>
                    <w:kinsoku/>
                    <w:wordWrap/>
                    <w:overflowPunct/>
                    <w:topLinePunct w:val="0"/>
                    <w:autoSpaceDE/>
                    <w:autoSpaceDN/>
                    <w:bidi w:val="0"/>
                    <w:adjustRightInd w:val="0"/>
                    <w:snapToGrid w:val="0"/>
                    <w:spacing w:after="0" w:afterLine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废水</w:t>
                  </w:r>
                </w:p>
              </w:tc>
              <w:tc>
                <w:tcPr>
                  <w:tcW w:w="642" w:type="pct"/>
                  <w:shd w:val="clear" w:color="auto" w:fill="auto"/>
                  <w:noWrap w:val="0"/>
                  <w:vAlign w:val="center"/>
                </w:tcPr>
                <w:p w14:paraId="0AD4A03E">
                  <w:pPr>
                    <w:keepNext w:val="0"/>
                    <w:keepLines w:val="0"/>
                    <w:pageBreakBefore w:val="0"/>
                    <w:widowControl/>
                    <w:kinsoku/>
                    <w:wordWrap/>
                    <w:overflowPunct/>
                    <w:topLinePunct w:val="0"/>
                    <w:autoSpaceDE/>
                    <w:autoSpaceDN/>
                    <w:bidi w:val="0"/>
                    <w:adjustRightInd w:val="0"/>
                    <w:snapToGrid w:val="0"/>
                    <w:spacing w:after="0" w:afterLine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生产废水</w:t>
                  </w:r>
                </w:p>
              </w:tc>
              <w:tc>
                <w:tcPr>
                  <w:tcW w:w="1268" w:type="pct"/>
                  <w:gridSpan w:val="2"/>
                  <w:shd w:val="clear" w:color="auto" w:fill="auto"/>
                  <w:noWrap w:val="0"/>
                  <w:vAlign w:val="center"/>
                </w:tcPr>
                <w:p w14:paraId="38944739">
                  <w:pPr>
                    <w:keepNext w:val="0"/>
                    <w:keepLines w:val="0"/>
                    <w:pageBreakBefore w:val="0"/>
                    <w:widowControl/>
                    <w:kinsoku/>
                    <w:wordWrap/>
                    <w:overflowPunct/>
                    <w:topLinePunct w:val="0"/>
                    <w:autoSpaceDE/>
                    <w:autoSpaceDN/>
                    <w:bidi w:val="0"/>
                    <w:adjustRightInd w:val="0"/>
                    <w:snapToGrid w:val="0"/>
                    <w:spacing w:after="0" w:afterLine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回用于砂处理抑尘、厂区抑尘工序</w:t>
                  </w:r>
                </w:p>
              </w:tc>
              <w:tc>
                <w:tcPr>
                  <w:tcW w:w="607" w:type="pct"/>
                  <w:shd w:val="clear" w:color="auto" w:fill="auto"/>
                  <w:noWrap w:val="0"/>
                  <w:vAlign w:val="center"/>
                </w:tcPr>
                <w:p w14:paraId="3C716F79">
                  <w:pPr>
                    <w:keepNext w:val="0"/>
                    <w:keepLines w:val="0"/>
                    <w:pageBreakBefore w:val="0"/>
                    <w:widowControl/>
                    <w:kinsoku/>
                    <w:wordWrap/>
                    <w:overflowPunct/>
                    <w:topLinePunct w:val="0"/>
                    <w:autoSpaceDE/>
                    <w:autoSpaceDN/>
                    <w:bidi w:val="0"/>
                    <w:adjustRightInd w:val="0"/>
                    <w:snapToGrid w:val="0"/>
                    <w:spacing w:after="0" w:afterLine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生产废水</w:t>
                  </w:r>
                </w:p>
              </w:tc>
              <w:tc>
                <w:tcPr>
                  <w:tcW w:w="1349" w:type="pct"/>
                  <w:gridSpan w:val="2"/>
                  <w:shd w:val="clear" w:color="auto" w:fill="auto"/>
                  <w:noWrap w:val="0"/>
                  <w:vAlign w:val="center"/>
                </w:tcPr>
                <w:p w14:paraId="06E8BFAF">
                  <w:pPr>
                    <w:keepNext w:val="0"/>
                    <w:keepLines w:val="0"/>
                    <w:pageBreakBefore w:val="0"/>
                    <w:widowControl/>
                    <w:kinsoku/>
                    <w:wordWrap/>
                    <w:overflowPunct/>
                    <w:topLinePunct w:val="0"/>
                    <w:autoSpaceDE/>
                    <w:autoSpaceDN/>
                    <w:bidi w:val="0"/>
                    <w:adjustRightInd w:val="0"/>
                    <w:snapToGrid w:val="0"/>
                    <w:spacing w:after="0" w:afterLine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回用于砂处理抑尘、厂区抑尘工序</w:t>
                  </w:r>
                </w:p>
              </w:tc>
              <w:tc>
                <w:tcPr>
                  <w:tcW w:w="679" w:type="pct"/>
                  <w:noWrap w:val="0"/>
                  <w:vAlign w:val="center"/>
                </w:tcPr>
                <w:p w14:paraId="7F1DADEA">
                  <w:pPr>
                    <w:keepNext w:val="0"/>
                    <w:keepLines w:val="0"/>
                    <w:pageBreakBefore w:val="0"/>
                    <w:widowControl/>
                    <w:kinsoku/>
                    <w:wordWrap/>
                    <w:overflowPunct/>
                    <w:topLinePunct w:val="0"/>
                    <w:autoSpaceDE/>
                    <w:autoSpaceDN/>
                    <w:bidi w:val="0"/>
                    <w:adjustRightInd w:val="0"/>
                    <w:snapToGrid w:val="0"/>
                    <w:spacing w:after="0" w:afterLine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未变化</w:t>
                  </w:r>
                </w:p>
              </w:tc>
            </w:tr>
            <w:tr w14:paraId="5894F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8" w:hRule="atLeast"/>
              </w:trPr>
              <w:tc>
                <w:tcPr>
                  <w:tcW w:w="453" w:type="pct"/>
                  <w:vMerge w:val="continue"/>
                  <w:noWrap w:val="0"/>
                  <w:vAlign w:val="center"/>
                </w:tcPr>
                <w:p w14:paraId="71D3F4C9">
                  <w:pPr>
                    <w:keepNext w:val="0"/>
                    <w:keepLines w:val="0"/>
                    <w:pageBreakBefore w:val="0"/>
                    <w:widowControl/>
                    <w:kinsoku/>
                    <w:wordWrap/>
                    <w:overflowPunct/>
                    <w:topLinePunct w:val="0"/>
                    <w:autoSpaceDE/>
                    <w:autoSpaceDN/>
                    <w:bidi w:val="0"/>
                    <w:adjustRightInd w:val="0"/>
                    <w:snapToGrid w:val="0"/>
                    <w:spacing w:after="0" w:afterLines="0"/>
                    <w:jc w:val="center"/>
                    <w:textAlignment w:val="auto"/>
                    <w:rPr>
                      <w:rFonts w:hint="default" w:ascii="Times New Roman" w:hAnsi="Times New Roman" w:cs="Times New Roman" w:eastAsiaTheme="minorEastAsia"/>
                      <w:sz w:val="21"/>
                      <w:szCs w:val="21"/>
                      <w:lang w:val="en-US" w:eastAsia="zh-CN"/>
                    </w:rPr>
                  </w:pPr>
                </w:p>
              </w:tc>
              <w:tc>
                <w:tcPr>
                  <w:tcW w:w="642" w:type="pct"/>
                  <w:shd w:val="clear" w:color="auto" w:fill="auto"/>
                  <w:noWrap w:val="0"/>
                  <w:vAlign w:val="center"/>
                </w:tcPr>
                <w:p w14:paraId="7AB93BB4">
                  <w:pPr>
                    <w:keepNext w:val="0"/>
                    <w:keepLines w:val="0"/>
                    <w:pageBreakBefore w:val="0"/>
                    <w:widowControl/>
                    <w:kinsoku/>
                    <w:wordWrap/>
                    <w:overflowPunct/>
                    <w:topLinePunct w:val="0"/>
                    <w:autoSpaceDE/>
                    <w:autoSpaceDN/>
                    <w:bidi w:val="0"/>
                    <w:adjustRightInd w:val="0"/>
                    <w:snapToGrid w:val="0"/>
                    <w:spacing w:after="0" w:afterLine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生活废水</w:t>
                  </w:r>
                </w:p>
              </w:tc>
              <w:tc>
                <w:tcPr>
                  <w:tcW w:w="1268" w:type="pct"/>
                  <w:gridSpan w:val="2"/>
                  <w:shd w:val="clear" w:color="auto" w:fill="auto"/>
                  <w:noWrap w:val="0"/>
                  <w:vAlign w:val="center"/>
                </w:tcPr>
                <w:p w14:paraId="77211AB3">
                  <w:pPr>
                    <w:keepNext w:val="0"/>
                    <w:keepLines w:val="0"/>
                    <w:pageBreakBefore w:val="0"/>
                    <w:widowControl/>
                    <w:kinsoku/>
                    <w:wordWrap/>
                    <w:overflowPunct/>
                    <w:topLinePunct w:val="0"/>
                    <w:autoSpaceDE/>
                    <w:autoSpaceDN/>
                    <w:bidi w:val="0"/>
                    <w:adjustRightInd w:val="0"/>
                    <w:snapToGrid w:val="0"/>
                    <w:spacing w:after="0" w:afterLine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经化粪池处理后，</w:t>
                  </w:r>
                </w:p>
                <w:p w14:paraId="2FDE5294">
                  <w:pPr>
                    <w:keepNext w:val="0"/>
                    <w:keepLines w:val="0"/>
                    <w:pageBreakBefore w:val="0"/>
                    <w:widowControl/>
                    <w:kinsoku/>
                    <w:wordWrap/>
                    <w:overflowPunct/>
                    <w:topLinePunct w:val="0"/>
                    <w:autoSpaceDE/>
                    <w:autoSpaceDN/>
                    <w:bidi w:val="0"/>
                    <w:adjustRightInd w:val="0"/>
                    <w:snapToGrid w:val="0"/>
                    <w:spacing w:after="0" w:afterLine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排入长垣市第二污水处理厂</w:t>
                  </w:r>
                </w:p>
              </w:tc>
              <w:tc>
                <w:tcPr>
                  <w:tcW w:w="607" w:type="pct"/>
                  <w:shd w:val="clear" w:color="auto" w:fill="auto"/>
                  <w:noWrap w:val="0"/>
                  <w:vAlign w:val="center"/>
                </w:tcPr>
                <w:p w14:paraId="3752196B">
                  <w:pPr>
                    <w:keepNext w:val="0"/>
                    <w:keepLines w:val="0"/>
                    <w:pageBreakBefore w:val="0"/>
                    <w:widowControl/>
                    <w:kinsoku/>
                    <w:wordWrap/>
                    <w:overflowPunct/>
                    <w:topLinePunct w:val="0"/>
                    <w:autoSpaceDE/>
                    <w:autoSpaceDN/>
                    <w:bidi w:val="0"/>
                    <w:adjustRightInd w:val="0"/>
                    <w:snapToGrid w:val="0"/>
                    <w:spacing w:after="0" w:afterLine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生活废水</w:t>
                  </w:r>
                </w:p>
              </w:tc>
              <w:tc>
                <w:tcPr>
                  <w:tcW w:w="1349" w:type="pct"/>
                  <w:gridSpan w:val="2"/>
                  <w:shd w:val="clear" w:color="auto" w:fill="auto"/>
                  <w:noWrap w:val="0"/>
                  <w:vAlign w:val="center"/>
                </w:tcPr>
                <w:p w14:paraId="1B64593A">
                  <w:pPr>
                    <w:keepNext w:val="0"/>
                    <w:keepLines w:val="0"/>
                    <w:pageBreakBefore w:val="0"/>
                    <w:widowControl/>
                    <w:kinsoku/>
                    <w:wordWrap/>
                    <w:overflowPunct/>
                    <w:topLinePunct w:val="0"/>
                    <w:autoSpaceDE/>
                    <w:autoSpaceDN/>
                    <w:bidi w:val="0"/>
                    <w:adjustRightInd w:val="0"/>
                    <w:snapToGrid w:val="0"/>
                    <w:spacing w:after="0" w:afterLine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经化粪池处理后，</w:t>
                  </w:r>
                </w:p>
                <w:p w14:paraId="0E1371DB">
                  <w:pPr>
                    <w:keepNext w:val="0"/>
                    <w:keepLines w:val="0"/>
                    <w:pageBreakBefore w:val="0"/>
                    <w:widowControl/>
                    <w:kinsoku/>
                    <w:wordWrap/>
                    <w:overflowPunct/>
                    <w:topLinePunct w:val="0"/>
                    <w:autoSpaceDE/>
                    <w:autoSpaceDN/>
                    <w:bidi w:val="0"/>
                    <w:adjustRightInd w:val="0"/>
                    <w:snapToGrid w:val="0"/>
                    <w:spacing w:after="0" w:afterLine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排入长垣市第二污水处理厂</w:t>
                  </w:r>
                </w:p>
              </w:tc>
              <w:tc>
                <w:tcPr>
                  <w:tcW w:w="679" w:type="pct"/>
                  <w:noWrap w:val="0"/>
                  <w:vAlign w:val="center"/>
                </w:tcPr>
                <w:p w14:paraId="203657B5">
                  <w:pPr>
                    <w:keepNext w:val="0"/>
                    <w:keepLines w:val="0"/>
                    <w:pageBreakBefore w:val="0"/>
                    <w:widowControl/>
                    <w:kinsoku/>
                    <w:wordWrap/>
                    <w:overflowPunct/>
                    <w:topLinePunct w:val="0"/>
                    <w:autoSpaceDE/>
                    <w:autoSpaceDN/>
                    <w:bidi w:val="0"/>
                    <w:adjustRightInd w:val="0"/>
                    <w:snapToGrid w:val="0"/>
                    <w:spacing w:after="0" w:afterLine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未变化</w:t>
                  </w:r>
                </w:p>
              </w:tc>
            </w:tr>
            <w:tr w14:paraId="56E55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3" w:type="pct"/>
                  <w:shd w:val="clear" w:color="auto" w:fill="auto"/>
                  <w:noWrap w:val="0"/>
                  <w:vAlign w:val="center"/>
                </w:tcPr>
                <w:p w14:paraId="731FD935">
                  <w:pPr>
                    <w:keepNext w:val="0"/>
                    <w:keepLines w:val="0"/>
                    <w:pageBreakBefore w:val="0"/>
                    <w:widowControl/>
                    <w:kinsoku/>
                    <w:wordWrap/>
                    <w:overflowPunct/>
                    <w:topLinePunct w:val="0"/>
                    <w:autoSpaceDE/>
                    <w:autoSpaceDN/>
                    <w:bidi w:val="0"/>
                    <w:adjustRightInd w:val="0"/>
                    <w:snapToGrid w:val="0"/>
                    <w:spacing w:after="0" w:afterLine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一般固废</w:t>
                  </w:r>
                </w:p>
              </w:tc>
              <w:tc>
                <w:tcPr>
                  <w:tcW w:w="1911" w:type="pct"/>
                  <w:gridSpan w:val="3"/>
                  <w:shd w:val="clear" w:color="auto" w:fill="auto"/>
                  <w:noWrap w:val="0"/>
                  <w:vAlign w:val="center"/>
                </w:tcPr>
                <w:p w14:paraId="49C7D164">
                  <w:pPr>
                    <w:keepNext w:val="0"/>
                    <w:keepLines w:val="0"/>
                    <w:pageBreakBefore w:val="0"/>
                    <w:widowControl/>
                    <w:kinsoku/>
                    <w:wordWrap/>
                    <w:overflowPunct/>
                    <w:topLinePunct w:val="0"/>
                    <w:autoSpaceDE/>
                    <w:autoSpaceDN/>
                    <w:bidi w:val="0"/>
                    <w:adjustRightInd w:val="0"/>
                    <w:snapToGrid w:val="0"/>
                    <w:spacing w:after="0" w:afterLine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金属边角料定期回用于熔炼工序；炉渣、废砂、废钢丸、收尘灰收集后，存于一般固废暂存区，定期外售</w:t>
                  </w:r>
                </w:p>
              </w:tc>
              <w:tc>
                <w:tcPr>
                  <w:tcW w:w="1956" w:type="pct"/>
                  <w:gridSpan w:val="3"/>
                  <w:shd w:val="clear" w:color="auto" w:fill="auto"/>
                  <w:noWrap w:val="0"/>
                  <w:vAlign w:val="center"/>
                </w:tcPr>
                <w:p w14:paraId="7BDC82E9">
                  <w:pPr>
                    <w:keepNext w:val="0"/>
                    <w:keepLines w:val="0"/>
                    <w:pageBreakBefore w:val="0"/>
                    <w:widowControl/>
                    <w:kinsoku/>
                    <w:wordWrap/>
                    <w:overflowPunct/>
                    <w:topLinePunct w:val="0"/>
                    <w:autoSpaceDE/>
                    <w:autoSpaceDN/>
                    <w:bidi w:val="0"/>
                    <w:adjustRightInd w:val="0"/>
                    <w:snapToGrid w:val="0"/>
                    <w:spacing w:after="0" w:afterLine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金属边角料定期回用于熔炼工序；炉渣、废砂、废钢丸、收尘灰收集后，存于一般固废暂存区，定期外售</w:t>
                  </w:r>
                </w:p>
              </w:tc>
              <w:tc>
                <w:tcPr>
                  <w:tcW w:w="679" w:type="pct"/>
                  <w:noWrap w:val="0"/>
                  <w:vAlign w:val="center"/>
                </w:tcPr>
                <w:p w14:paraId="213E62A2">
                  <w:pPr>
                    <w:keepNext w:val="0"/>
                    <w:keepLines w:val="0"/>
                    <w:pageBreakBefore w:val="0"/>
                    <w:widowControl/>
                    <w:kinsoku/>
                    <w:wordWrap/>
                    <w:overflowPunct/>
                    <w:topLinePunct w:val="0"/>
                    <w:autoSpaceDE/>
                    <w:autoSpaceDN/>
                    <w:bidi w:val="0"/>
                    <w:adjustRightInd w:val="0"/>
                    <w:snapToGrid w:val="0"/>
                    <w:spacing w:after="0" w:afterLine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未变化</w:t>
                  </w:r>
                </w:p>
              </w:tc>
            </w:tr>
            <w:tr w14:paraId="226FF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trPr>
              <w:tc>
                <w:tcPr>
                  <w:tcW w:w="453" w:type="pct"/>
                  <w:shd w:val="clear" w:color="auto" w:fill="auto"/>
                  <w:noWrap w:val="0"/>
                  <w:vAlign w:val="center"/>
                </w:tcPr>
                <w:p w14:paraId="3E711129">
                  <w:pPr>
                    <w:keepNext w:val="0"/>
                    <w:keepLines w:val="0"/>
                    <w:pageBreakBefore w:val="0"/>
                    <w:widowControl/>
                    <w:kinsoku/>
                    <w:wordWrap/>
                    <w:overflowPunct/>
                    <w:topLinePunct w:val="0"/>
                    <w:autoSpaceDE/>
                    <w:autoSpaceDN/>
                    <w:bidi w:val="0"/>
                    <w:adjustRightInd w:val="0"/>
                    <w:snapToGrid w:val="0"/>
                    <w:spacing w:after="0" w:afterLine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危险固废</w:t>
                  </w:r>
                </w:p>
              </w:tc>
              <w:tc>
                <w:tcPr>
                  <w:tcW w:w="1911" w:type="pct"/>
                  <w:gridSpan w:val="3"/>
                  <w:shd w:val="clear" w:color="auto" w:fill="auto"/>
                  <w:noWrap w:val="0"/>
                  <w:vAlign w:val="center"/>
                </w:tcPr>
                <w:p w14:paraId="73572B83">
                  <w:pPr>
                    <w:keepNext w:val="0"/>
                    <w:keepLines w:val="0"/>
                    <w:pageBreakBefore w:val="0"/>
                    <w:widowControl/>
                    <w:kinsoku/>
                    <w:wordWrap/>
                    <w:overflowPunct/>
                    <w:topLinePunct w:val="0"/>
                    <w:autoSpaceDE/>
                    <w:autoSpaceDN/>
                    <w:bidi w:val="0"/>
                    <w:adjustRightInd w:val="0"/>
                    <w:snapToGrid w:val="0"/>
                    <w:spacing w:after="0" w:afterLine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废活性炭、废切削液、废机油、废石棉暂存于危废暂存间，定期交由资质单位处置</w:t>
                  </w:r>
                </w:p>
              </w:tc>
              <w:tc>
                <w:tcPr>
                  <w:tcW w:w="1956" w:type="pct"/>
                  <w:gridSpan w:val="3"/>
                  <w:shd w:val="clear" w:color="auto" w:fill="auto"/>
                  <w:noWrap w:val="0"/>
                  <w:vAlign w:val="center"/>
                </w:tcPr>
                <w:p w14:paraId="5A7B4B32">
                  <w:pPr>
                    <w:keepNext w:val="0"/>
                    <w:keepLines w:val="0"/>
                    <w:pageBreakBefore w:val="0"/>
                    <w:widowControl/>
                    <w:kinsoku/>
                    <w:wordWrap/>
                    <w:overflowPunct/>
                    <w:topLinePunct w:val="0"/>
                    <w:autoSpaceDE/>
                    <w:autoSpaceDN/>
                    <w:bidi w:val="0"/>
                    <w:adjustRightInd w:val="0"/>
                    <w:snapToGrid w:val="0"/>
                    <w:spacing w:after="0" w:afterLine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废活性炭、废切削液、废机油、废石棉暂存于危废暂存间，定期交由资质单位处置</w:t>
                  </w:r>
                </w:p>
              </w:tc>
              <w:tc>
                <w:tcPr>
                  <w:tcW w:w="679" w:type="pct"/>
                  <w:noWrap w:val="0"/>
                  <w:vAlign w:val="center"/>
                </w:tcPr>
                <w:p w14:paraId="37605CA3">
                  <w:pPr>
                    <w:keepNext w:val="0"/>
                    <w:keepLines w:val="0"/>
                    <w:pageBreakBefore w:val="0"/>
                    <w:widowControl/>
                    <w:kinsoku/>
                    <w:wordWrap/>
                    <w:overflowPunct/>
                    <w:topLinePunct w:val="0"/>
                    <w:autoSpaceDE/>
                    <w:autoSpaceDN/>
                    <w:bidi w:val="0"/>
                    <w:adjustRightInd w:val="0"/>
                    <w:snapToGrid w:val="0"/>
                    <w:spacing w:after="0" w:afterLines="0"/>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未变化</w:t>
                  </w:r>
                </w:p>
              </w:tc>
            </w:tr>
            <w:tr w14:paraId="3DA99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trPr>
              <w:tc>
                <w:tcPr>
                  <w:tcW w:w="453" w:type="pct"/>
                  <w:shd w:val="clear" w:color="auto" w:fill="auto"/>
                  <w:noWrap w:val="0"/>
                  <w:vAlign w:val="center"/>
                </w:tcPr>
                <w:p w14:paraId="408736D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Times New Roman" w:cs="Times New Roman"/>
                      <w:color w:val="000000"/>
                      <w:sz w:val="22"/>
                      <w:szCs w:val="21"/>
                      <w:lang w:val="en-US" w:eastAsia="zh-CN" w:bidi="ar-SA"/>
                    </w:rPr>
                  </w:pPr>
                  <w:r>
                    <w:rPr>
                      <w:rFonts w:hint="default" w:ascii="Times New Roman" w:hAnsi="Times New Roman" w:eastAsia="Times New Roman" w:cs="Times New Roman"/>
                      <w:color w:val="000000"/>
                      <w:sz w:val="22"/>
                      <w:szCs w:val="21"/>
                      <w:lang w:val="en-US" w:eastAsia="zh-CN" w:bidi="ar-SA"/>
                    </w:rPr>
                    <w:t>生活垃圾</w:t>
                  </w:r>
                </w:p>
              </w:tc>
              <w:tc>
                <w:tcPr>
                  <w:tcW w:w="1911" w:type="pct"/>
                  <w:gridSpan w:val="3"/>
                  <w:shd w:val="clear" w:color="auto" w:fill="auto"/>
                  <w:noWrap w:val="0"/>
                  <w:vAlign w:val="center"/>
                </w:tcPr>
                <w:p w14:paraId="27C75577">
                  <w:pPr>
                    <w:pStyle w:val="24"/>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color w:val="000000"/>
                      <w:kern w:val="0"/>
                      <w:sz w:val="22"/>
                      <w:szCs w:val="21"/>
                      <w:lang w:val="en-US" w:eastAsia="zh-CN" w:bidi="ar-SA"/>
                    </w:rPr>
                  </w:pPr>
                  <w:r>
                    <w:rPr>
                      <w:rFonts w:hint="default" w:ascii="Times New Roman" w:hAnsi="Times New Roman" w:eastAsia="宋体" w:cs="Times New Roman"/>
                    </w:rPr>
                    <w:t>设垃圾桶集中收集，定期委托环卫部门进行处理</w:t>
                  </w:r>
                </w:p>
              </w:tc>
              <w:tc>
                <w:tcPr>
                  <w:tcW w:w="1956" w:type="pct"/>
                  <w:gridSpan w:val="3"/>
                  <w:shd w:val="clear" w:color="auto" w:fill="auto"/>
                  <w:noWrap w:val="0"/>
                  <w:vAlign w:val="center"/>
                </w:tcPr>
                <w:p w14:paraId="7EE93486">
                  <w:pPr>
                    <w:pStyle w:val="24"/>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Times New Roman" w:cs="Times New Roman"/>
                      <w:color w:val="000000"/>
                      <w:sz w:val="22"/>
                      <w:szCs w:val="21"/>
                      <w:lang w:val="en-US" w:eastAsia="zh-CN" w:bidi="ar-SA"/>
                    </w:rPr>
                  </w:pPr>
                  <w:r>
                    <w:rPr>
                      <w:rFonts w:hint="default" w:ascii="Times New Roman" w:hAnsi="Times New Roman" w:eastAsia="宋体" w:cs="Times New Roman"/>
                    </w:rPr>
                    <w:t>设垃圾桶集中收集，定期委托环卫部门进行处理</w:t>
                  </w:r>
                </w:p>
              </w:tc>
              <w:tc>
                <w:tcPr>
                  <w:tcW w:w="679" w:type="pct"/>
                  <w:shd w:val="clear" w:color="auto" w:fill="auto"/>
                  <w:noWrap w:val="0"/>
                  <w:vAlign w:val="center"/>
                </w:tcPr>
                <w:p w14:paraId="3780E4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未变化</w:t>
                  </w:r>
                </w:p>
              </w:tc>
            </w:tr>
          </w:tbl>
          <w:p w14:paraId="4BCB956D">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default" w:ascii="Times New Roman" w:hAnsi="Times New Roman" w:cs="Times New Roman"/>
                <w:b/>
                <w:bCs/>
                <w:sz w:val="24"/>
                <w:szCs w:val="24"/>
                <w:lang w:val="en-US" w:eastAsia="zh-CN"/>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原辅材料消耗及水平衡</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w:t>
            </w:r>
          </w:p>
          <w:p w14:paraId="58E82E33">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6   </w:t>
            </w:r>
            <w:r>
              <w:rPr>
                <w:rFonts w:hint="default" w:ascii="Times New Roman" w:hAnsi="Times New Roman" w:cs="Times New Roman" w:eastAsiaTheme="minorEastAsia"/>
                <w:b/>
                <w:bCs/>
                <w:color w:val="auto"/>
                <w:kern w:val="2"/>
                <w:sz w:val="24"/>
                <w:szCs w:val="24"/>
                <w:lang w:val="en-US" w:eastAsia="zh-CN" w:bidi="ar-SA"/>
              </w:rPr>
              <w:t>本项目</w:t>
            </w:r>
            <w:r>
              <w:rPr>
                <w:rFonts w:hint="eastAsia" w:ascii="Times New Roman" w:hAnsi="Times New Roman" w:cs="Times New Roman" w:eastAsiaTheme="minorEastAsia"/>
                <w:b/>
                <w:bCs/>
                <w:color w:val="auto"/>
                <w:kern w:val="2"/>
                <w:sz w:val="24"/>
                <w:szCs w:val="24"/>
                <w:lang w:val="en-US" w:eastAsia="zh-CN" w:bidi="ar-SA"/>
              </w:rPr>
              <w:t>一期</w:t>
            </w:r>
            <w:r>
              <w:rPr>
                <w:rFonts w:hint="default" w:ascii="Times New Roman" w:hAnsi="Times New Roman" w:cs="Times New Roman" w:eastAsiaTheme="minorEastAsia"/>
                <w:b/>
                <w:bCs/>
                <w:color w:val="auto"/>
                <w:kern w:val="2"/>
                <w:sz w:val="24"/>
                <w:szCs w:val="24"/>
                <w:lang w:val="en-US" w:eastAsia="zh-CN" w:bidi="ar-SA"/>
              </w:rPr>
              <w:t>原辅材料及能源消耗情况一览表</w:t>
            </w:r>
          </w:p>
          <w:tbl>
            <w:tblPr>
              <w:tblStyle w:val="17"/>
              <w:tblW w:w="910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2822"/>
              <w:gridCol w:w="1300"/>
              <w:gridCol w:w="1417"/>
              <w:gridCol w:w="1417"/>
              <w:gridCol w:w="1417"/>
            </w:tblGrid>
            <w:tr w14:paraId="5F8F9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734" w:type="dxa"/>
                  <w:tcBorders>
                    <w:tl2br w:val="nil"/>
                    <w:tr2bl w:val="nil"/>
                  </w:tcBorders>
                  <w:noWrap w:val="0"/>
                  <w:vAlign w:val="center"/>
                </w:tcPr>
                <w:p w14:paraId="0F71430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序号</w:t>
                  </w:r>
                </w:p>
              </w:tc>
              <w:tc>
                <w:tcPr>
                  <w:tcW w:w="2822" w:type="dxa"/>
                  <w:tcBorders>
                    <w:tl2br w:val="nil"/>
                    <w:tr2bl w:val="nil"/>
                  </w:tcBorders>
                  <w:noWrap w:val="0"/>
                  <w:vAlign w:val="center"/>
                </w:tcPr>
                <w:p w14:paraId="7A94F42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名称</w:t>
                  </w:r>
                </w:p>
              </w:tc>
              <w:tc>
                <w:tcPr>
                  <w:tcW w:w="1300" w:type="dxa"/>
                  <w:tcBorders>
                    <w:tl2br w:val="nil"/>
                    <w:tr2bl w:val="nil"/>
                  </w:tcBorders>
                  <w:noWrap w:val="0"/>
                  <w:vAlign w:val="center"/>
                </w:tcPr>
                <w:p w14:paraId="61D5E4F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单位</w:t>
                  </w:r>
                </w:p>
              </w:tc>
              <w:tc>
                <w:tcPr>
                  <w:tcW w:w="1417" w:type="dxa"/>
                  <w:tcBorders>
                    <w:tl2br w:val="nil"/>
                    <w:tr2bl w:val="nil"/>
                  </w:tcBorders>
                  <w:noWrap w:val="0"/>
                  <w:vAlign w:val="center"/>
                </w:tcPr>
                <w:p w14:paraId="2F1255F9">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计划消耗量</w:t>
                  </w:r>
                </w:p>
              </w:tc>
              <w:tc>
                <w:tcPr>
                  <w:tcW w:w="1417" w:type="dxa"/>
                  <w:tcBorders>
                    <w:tl2br w:val="nil"/>
                    <w:tr2bl w:val="nil"/>
                  </w:tcBorders>
                  <w:noWrap w:val="0"/>
                  <w:vAlign w:val="center"/>
                </w:tcPr>
                <w:p w14:paraId="321E761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实际消耗量</w:t>
                  </w:r>
                </w:p>
              </w:tc>
              <w:tc>
                <w:tcPr>
                  <w:tcW w:w="1417" w:type="dxa"/>
                  <w:tcBorders>
                    <w:tl2br w:val="nil"/>
                    <w:tr2bl w:val="nil"/>
                  </w:tcBorders>
                  <w:noWrap w:val="0"/>
                  <w:vAlign w:val="center"/>
                </w:tcPr>
                <w:p w14:paraId="2156BCC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备注</w:t>
                  </w:r>
                </w:p>
              </w:tc>
            </w:tr>
            <w:tr w14:paraId="6F542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734" w:type="dxa"/>
                  <w:tcBorders>
                    <w:tl2br w:val="nil"/>
                    <w:tr2bl w:val="nil"/>
                  </w:tcBorders>
                  <w:noWrap w:val="0"/>
                  <w:vAlign w:val="center"/>
                </w:tcPr>
                <w:p w14:paraId="1BEA819C">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p>
              </w:tc>
              <w:tc>
                <w:tcPr>
                  <w:tcW w:w="2822" w:type="dxa"/>
                  <w:tcBorders>
                    <w:tl2br w:val="nil"/>
                    <w:tr2bl w:val="nil"/>
                  </w:tcBorders>
                  <w:shd w:val="clear" w:color="auto" w:fill="auto"/>
                  <w:noWrap w:val="0"/>
                  <w:vAlign w:val="center"/>
                </w:tcPr>
                <w:p w14:paraId="186BE733">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钢锭</w:t>
                  </w:r>
                </w:p>
              </w:tc>
              <w:tc>
                <w:tcPr>
                  <w:tcW w:w="1300" w:type="dxa"/>
                  <w:tcBorders>
                    <w:tl2br w:val="nil"/>
                    <w:tr2bl w:val="nil"/>
                  </w:tcBorders>
                  <w:noWrap w:val="0"/>
                  <w:vAlign w:val="center"/>
                </w:tcPr>
                <w:p w14:paraId="534F6106">
                  <w:pPr>
                    <w:keepNext w:val="0"/>
                    <w:keepLines w:val="0"/>
                    <w:pageBreakBefore w:val="0"/>
                    <w:widowControl/>
                    <w:kinsoku/>
                    <w:wordWrap/>
                    <w:overflowPunct/>
                    <w:topLinePunct w:val="0"/>
                    <w:autoSpaceDE/>
                    <w:autoSpaceDN/>
                    <w:bidi w:val="0"/>
                    <w:adjustRightInd w:val="0"/>
                    <w:snapToGrid w:val="0"/>
                    <w:spacing w:after="0" w:afterLines="0"/>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rPr>
                    <w:t>吨/a</w:t>
                  </w:r>
                </w:p>
              </w:tc>
              <w:tc>
                <w:tcPr>
                  <w:tcW w:w="1417" w:type="dxa"/>
                  <w:tcBorders>
                    <w:tl2br w:val="nil"/>
                    <w:tr2bl w:val="nil"/>
                  </w:tcBorders>
                  <w:shd w:val="clear" w:color="auto" w:fill="auto"/>
                  <w:noWrap w:val="0"/>
                  <w:vAlign w:val="center"/>
                </w:tcPr>
                <w:p w14:paraId="72DE9070">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5500</w:t>
                  </w:r>
                </w:p>
              </w:tc>
              <w:tc>
                <w:tcPr>
                  <w:tcW w:w="1417" w:type="dxa"/>
                  <w:tcBorders>
                    <w:tl2br w:val="nil"/>
                    <w:tr2bl w:val="nil"/>
                  </w:tcBorders>
                  <w:shd w:val="clear" w:color="auto" w:fill="auto"/>
                  <w:noWrap w:val="0"/>
                  <w:vAlign w:val="center"/>
                </w:tcPr>
                <w:p w14:paraId="11865D94">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5500</w:t>
                  </w:r>
                </w:p>
              </w:tc>
              <w:tc>
                <w:tcPr>
                  <w:tcW w:w="1417" w:type="dxa"/>
                  <w:tcBorders>
                    <w:tl2br w:val="nil"/>
                    <w:tr2bl w:val="nil"/>
                  </w:tcBorders>
                  <w:noWrap w:val="0"/>
                  <w:vAlign w:val="center"/>
                </w:tcPr>
                <w:p w14:paraId="6F255B4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14:paraId="13175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734" w:type="dxa"/>
                  <w:tcBorders>
                    <w:tl2br w:val="nil"/>
                    <w:tr2bl w:val="nil"/>
                  </w:tcBorders>
                  <w:noWrap w:val="0"/>
                  <w:vAlign w:val="center"/>
                </w:tcPr>
                <w:p w14:paraId="34A119B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w:t>
                  </w:r>
                </w:p>
              </w:tc>
              <w:tc>
                <w:tcPr>
                  <w:tcW w:w="2822" w:type="dxa"/>
                  <w:tcBorders>
                    <w:tl2br w:val="nil"/>
                    <w:tr2bl w:val="nil"/>
                  </w:tcBorders>
                  <w:shd w:val="clear" w:color="auto" w:fill="auto"/>
                  <w:noWrap w:val="0"/>
                  <w:vAlign w:val="center"/>
                </w:tcPr>
                <w:p w14:paraId="37B29889">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钢板边角料</w:t>
                  </w:r>
                </w:p>
              </w:tc>
              <w:tc>
                <w:tcPr>
                  <w:tcW w:w="1300" w:type="dxa"/>
                  <w:tcBorders>
                    <w:tl2br w:val="nil"/>
                    <w:tr2bl w:val="nil"/>
                  </w:tcBorders>
                  <w:noWrap w:val="0"/>
                  <w:vAlign w:val="center"/>
                </w:tcPr>
                <w:p w14:paraId="40F895E9">
                  <w:pPr>
                    <w:keepNext w:val="0"/>
                    <w:keepLines w:val="0"/>
                    <w:pageBreakBefore w:val="0"/>
                    <w:widowControl/>
                    <w:kinsoku/>
                    <w:wordWrap/>
                    <w:overflowPunct/>
                    <w:topLinePunct w:val="0"/>
                    <w:autoSpaceDE/>
                    <w:autoSpaceDN/>
                    <w:bidi w:val="0"/>
                    <w:adjustRightInd w:val="0"/>
                    <w:snapToGrid w:val="0"/>
                    <w:spacing w:after="0" w:afterLines="0"/>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rPr>
                    <w:t>吨/a</w:t>
                  </w:r>
                </w:p>
              </w:tc>
              <w:tc>
                <w:tcPr>
                  <w:tcW w:w="1417" w:type="dxa"/>
                  <w:tcBorders>
                    <w:tl2br w:val="nil"/>
                    <w:tr2bl w:val="nil"/>
                  </w:tcBorders>
                  <w:shd w:val="clear" w:color="auto" w:fill="auto"/>
                  <w:noWrap w:val="0"/>
                  <w:vAlign w:val="center"/>
                </w:tcPr>
                <w:p w14:paraId="05B27E6D">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5000</w:t>
                  </w:r>
                </w:p>
              </w:tc>
              <w:tc>
                <w:tcPr>
                  <w:tcW w:w="1417" w:type="dxa"/>
                  <w:tcBorders>
                    <w:tl2br w:val="nil"/>
                    <w:tr2bl w:val="nil"/>
                  </w:tcBorders>
                  <w:shd w:val="clear" w:color="auto" w:fill="auto"/>
                  <w:noWrap w:val="0"/>
                  <w:vAlign w:val="center"/>
                </w:tcPr>
                <w:p w14:paraId="62071F36">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5000</w:t>
                  </w:r>
                </w:p>
              </w:tc>
              <w:tc>
                <w:tcPr>
                  <w:tcW w:w="1417" w:type="dxa"/>
                  <w:tcBorders>
                    <w:tl2br w:val="nil"/>
                    <w:tr2bl w:val="nil"/>
                  </w:tcBorders>
                  <w:noWrap w:val="0"/>
                  <w:vAlign w:val="center"/>
                </w:tcPr>
                <w:p w14:paraId="3FD0207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14:paraId="01965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734" w:type="dxa"/>
                  <w:tcBorders>
                    <w:tl2br w:val="nil"/>
                    <w:tr2bl w:val="nil"/>
                  </w:tcBorders>
                  <w:noWrap w:val="0"/>
                  <w:vAlign w:val="center"/>
                </w:tcPr>
                <w:p w14:paraId="2E5313A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p>
              </w:tc>
              <w:tc>
                <w:tcPr>
                  <w:tcW w:w="2822" w:type="dxa"/>
                  <w:tcBorders>
                    <w:tl2br w:val="nil"/>
                    <w:tr2bl w:val="nil"/>
                  </w:tcBorders>
                  <w:shd w:val="clear" w:color="auto" w:fill="auto"/>
                  <w:noWrap w:val="0"/>
                  <w:vAlign w:val="center"/>
                </w:tcPr>
                <w:p w14:paraId="7B35A9B4">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钢屑</w:t>
                  </w:r>
                </w:p>
              </w:tc>
              <w:tc>
                <w:tcPr>
                  <w:tcW w:w="1300" w:type="dxa"/>
                  <w:tcBorders>
                    <w:tl2br w:val="nil"/>
                    <w:tr2bl w:val="nil"/>
                  </w:tcBorders>
                  <w:noWrap w:val="0"/>
                  <w:vAlign w:val="center"/>
                </w:tcPr>
                <w:p w14:paraId="09F46F21">
                  <w:pPr>
                    <w:keepNext w:val="0"/>
                    <w:keepLines w:val="0"/>
                    <w:pageBreakBefore w:val="0"/>
                    <w:widowControl/>
                    <w:kinsoku/>
                    <w:wordWrap/>
                    <w:overflowPunct/>
                    <w:topLinePunct w:val="0"/>
                    <w:autoSpaceDE/>
                    <w:autoSpaceDN/>
                    <w:bidi w:val="0"/>
                    <w:adjustRightInd w:val="0"/>
                    <w:snapToGrid w:val="0"/>
                    <w:spacing w:after="0" w:afterLines="0"/>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rPr>
                    <w:t>吨/a</w:t>
                  </w:r>
                </w:p>
              </w:tc>
              <w:tc>
                <w:tcPr>
                  <w:tcW w:w="1417" w:type="dxa"/>
                  <w:tcBorders>
                    <w:tl2br w:val="nil"/>
                    <w:tr2bl w:val="nil"/>
                  </w:tcBorders>
                  <w:shd w:val="clear" w:color="auto" w:fill="auto"/>
                  <w:noWrap w:val="0"/>
                  <w:vAlign w:val="center"/>
                </w:tcPr>
                <w:p w14:paraId="0EE0ACC7">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1200</w:t>
                  </w:r>
                </w:p>
              </w:tc>
              <w:tc>
                <w:tcPr>
                  <w:tcW w:w="1417" w:type="dxa"/>
                  <w:tcBorders>
                    <w:tl2br w:val="nil"/>
                    <w:tr2bl w:val="nil"/>
                  </w:tcBorders>
                  <w:shd w:val="clear" w:color="auto" w:fill="auto"/>
                  <w:noWrap w:val="0"/>
                  <w:vAlign w:val="center"/>
                </w:tcPr>
                <w:p w14:paraId="66679348">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1200</w:t>
                  </w:r>
                </w:p>
              </w:tc>
              <w:tc>
                <w:tcPr>
                  <w:tcW w:w="1417" w:type="dxa"/>
                  <w:tcBorders>
                    <w:tl2br w:val="nil"/>
                    <w:tr2bl w:val="nil"/>
                  </w:tcBorders>
                  <w:noWrap w:val="0"/>
                  <w:vAlign w:val="center"/>
                </w:tcPr>
                <w:p w14:paraId="4203C6C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14:paraId="5A428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734" w:type="dxa"/>
                  <w:tcBorders>
                    <w:tl2br w:val="nil"/>
                    <w:tr2bl w:val="nil"/>
                  </w:tcBorders>
                  <w:noWrap w:val="0"/>
                  <w:vAlign w:val="center"/>
                </w:tcPr>
                <w:p w14:paraId="14B9418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w:t>
                  </w:r>
                </w:p>
              </w:tc>
              <w:tc>
                <w:tcPr>
                  <w:tcW w:w="2822" w:type="dxa"/>
                  <w:tcBorders>
                    <w:tl2br w:val="nil"/>
                    <w:tr2bl w:val="nil"/>
                  </w:tcBorders>
                  <w:shd w:val="clear" w:color="auto" w:fill="auto"/>
                  <w:noWrap w:val="0"/>
                  <w:vAlign w:val="center"/>
                </w:tcPr>
                <w:p w14:paraId="250C14C9">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硅铁合金</w:t>
                  </w:r>
                </w:p>
              </w:tc>
              <w:tc>
                <w:tcPr>
                  <w:tcW w:w="1300" w:type="dxa"/>
                  <w:tcBorders>
                    <w:tl2br w:val="nil"/>
                    <w:tr2bl w:val="nil"/>
                  </w:tcBorders>
                  <w:noWrap w:val="0"/>
                  <w:vAlign w:val="center"/>
                </w:tcPr>
                <w:p w14:paraId="32BCA787">
                  <w:pPr>
                    <w:keepNext w:val="0"/>
                    <w:keepLines w:val="0"/>
                    <w:pageBreakBefore w:val="0"/>
                    <w:widowControl/>
                    <w:kinsoku/>
                    <w:wordWrap/>
                    <w:overflowPunct/>
                    <w:topLinePunct w:val="0"/>
                    <w:autoSpaceDE/>
                    <w:autoSpaceDN/>
                    <w:bidi w:val="0"/>
                    <w:adjustRightInd w:val="0"/>
                    <w:snapToGrid w:val="0"/>
                    <w:spacing w:after="0" w:afterLines="0"/>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rPr>
                    <w:t>吨/a</w:t>
                  </w:r>
                </w:p>
              </w:tc>
              <w:tc>
                <w:tcPr>
                  <w:tcW w:w="1417" w:type="dxa"/>
                  <w:tcBorders>
                    <w:tl2br w:val="nil"/>
                    <w:tr2bl w:val="nil"/>
                  </w:tcBorders>
                  <w:shd w:val="clear" w:color="auto" w:fill="auto"/>
                  <w:noWrap w:val="0"/>
                  <w:vAlign w:val="center"/>
                </w:tcPr>
                <w:p w14:paraId="51BFD72F">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450</w:t>
                  </w:r>
                </w:p>
              </w:tc>
              <w:tc>
                <w:tcPr>
                  <w:tcW w:w="1417" w:type="dxa"/>
                  <w:tcBorders>
                    <w:tl2br w:val="nil"/>
                    <w:tr2bl w:val="nil"/>
                  </w:tcBorders>
                  <w:shd w:val="clear" w:color="auto" w:fill="auto"/>
                  <w:noWrap w:val="0"/>
                  <w:vAlign w:val="center"/>
                </w:tcPr>
                <w:p w14:paraId="292533B1">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450</w:t>
                  </w:r>
                </w:p>
              </w:tc>
              <w:tc>
                <w:tcPr>
                  <w:tcW w:w="1417" w:type="dxa"/>
                  <w:tcBorders>
                    <w:tl2br w:val="nil"/>
                    <w:tr2bl w:val="nil"/>
                  </w:tcBorders>
                  <w:noWrap w:val="0"/>
                  <w:vAlign w:val="center"/>
                </w:tcPr>
                <w:p w14:paraId="77713A98">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14:paraId="47739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734" w:type="dxa"/>
                  <w:tcBorders>
                    <w:tl2br w:val="nil"/>
                    <w:tr2bl w:val="nil"/>
                  </w:tcBorders>
                  <w:noWrap w:val="0"/>
                  <w:vAlign w:val="center"/>
                </w:tcPr>
                <w:p w14:paraId="7C7BBB7B">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w:t>
                  </w:r>
                </w:p>
              </w:tc>
              <w:tc>
                <w:tcPr>
                  <w:tcW w:w="2822" w:type="dxa"/>
                  <w:tcBorders>
                    <w:tl2br w:val="nil"/>
                    <w:tr2bl w:val="nil"/>
                  </w:tcBorders>
                  <w:shd w:val="clear" w:color="auto" w:fill="auto"/>
                  <w:noWrap w:val="0"/>
                  <w:vAlign w:val="center"/>
                </w:tcPr>
                <w:p w14:paraId="67E99CFB">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锰铁合金</w:t>
                  </w:r>
                </w:p>
              </w:tc>
              <w:tc>
                <w:tcPr>
                  <w:tcW w:w="1300" w:type="dxa"/>
                  <w:tcBorders>
                    <w:tl2br w:val="nil"/>
                    <w:tr2bl w:val="nil"/>
                  </w:tcBorders>
                  <w:noWrap w:val="0"/>
                  <w:vAlign w:val="center"/>
                </w:tcPr>
                <w:p w14:paraId="2D78DE8F">
                  <w:pPr>
                    <w:keepNext w:val="0"/>
                    <w:keepLines w:val="0"/>
                    <w:pageBreakBefore w:val="0"/>
                    <w:widowControl/>
                    <w:kinsoku/>
                    <w:wordWrap/>
                    <w:overflowPunct/>
                    <w:topLinePunct w:val="0"/>
                    <w:autoSpaceDE/>
                    <w:autoSpaceDN/>
                    <w:bidi w:val="0"/>
                    <w:adjustRightInd w:val="0"/>
                    <w:snapToGrid w:val="0"/>
                    <w:spacing w:after="0" w:afterLines="0"/>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rPr>
                    <w:t>吨/a</w:t>
                  </w:r>
                </w:p>
              </w:tc>
              <w:tc>
                <w:tcPr>
                  <w:tcW w:w="1417" w:type="dxa"/>
                  <w:tcBorders>
                    <w:tl2br w:val="nil"/>
                    <w:tr2bl w:val="nil"/>
                  </w:tcBorders>
                  <w:shd w:val="clear" w:color="auto" w:fill="auto"/>
                  <w:noWrap w:val="0"/>
                  <w:vAlign w:val="center"/>
                </w:tcPr>
                <w:p w14:paraId="57E721F0">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330</w:t>
                  </w:r>
                </w:p>
              </w:tc>
              <w:tc>
                <w:tcPr>
                  <w:tcW w:w="1417" w:type="dxa"/>
                  <w:tcBorders>
                    <w:tl2br w:val="nil"/>
                    <w:tr2bl w:val="nil"/>
                  </w:tcBorders>
                  <w:shd w:val="clear" w:color="auto" w:fill="auto"/>
                  <w:noWrap w:val="0"/>
                  <w:vAlign w:val="center"/>
                </w:tcPr>
                <w:p w14:paraId="7064869B">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330</w:t>
                  </w:r>
                </w:p>
              </w:tc>
              <w:tc>
                <w:tcPr>
                  <w:tcW w:w="1417" w:type="dxa"/>
                  <w:tcBorders>
                    <w:tl2br w:val="nil"/>
                    <w:tr2bl w:val="nil"/>
                  </w:tcBorders>
                  <w:noWrap w:val="0"/>
                  <w:vAlign w:val="center"/>
                </w:tcPr>
                <w:p w14:paraId="45A1724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14:paraId="0D065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734" w:type="dxa"/>
                  <w:tcBorders>
                    <w:tl2br w:val="nil"/>
                    <w:tr2bl w:val="nil"/>
                  </w:tcBorders>
                  <w:noWrap w:val="0"/>
                  <w:vAlign w:val="center"/>
                </w:tcPr>
                <w:p w14:paraId="1F5D2CAF">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w:t>
                  </w:r>
                </w:p>
              </w:tc>
              <w:tc>
                <w:tcPr>
                  <w:tcW w:w="2822" w:type="dxa"/>
                  <w:tcBorders>
                    <w:tl2br w:val="nil"/>
                    <w:tr2bl w:val="nil"/>
                  </w:tcBorders>
                  <w:shd w:val="clear" w:color="auto" w:fill="auto"/>
                  <w:noWrap w:val="0"/>
                  <w:vAlign w:val="center"/>
                </w:tcPr>
                <w:p w14:paraId="55712BCD">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粘土砂</w:t>
                  </w:r>
                </w:p>
              </w:tc>
              <w:tc>
                <w:tcPr>
                  <w:tcW w:w="1300" w:type="dxa"/>
                  <w:tcBorders>
                    <w:tl2br w:val="nil"/>
                    <w:tr2bl w:val="nil"/>
                  </w:tcBorders>
                  <w:noWrap w:val="0"/>
                  <w:vAlign w:val="center"/>
                </w:tcPr>
                <w:p w14:paraId="1835214F">
                  <w:pPr>
                    <w:keepNext w:val="0"/>
                    <w:keepLines w:val="0"/>
                    <w:pageBreakBefore w:val="0"/>
                    <w:widowControl/>
                    <w:kinsoku/>
                    <w:wordWrap/>
                    <w:overflowPunct/>
                    <w:topLinePunct w:val="0"/>
                    <w:autoSpaceDE/>
                    <w:autoSpaceDN/>
                    <w:bidi w:val="0"/>
                    <w:adjustRightInd w:val="0"/>
                    <w:snapToGrid w:val="0"/>
                    <w:spacing w:after="0" w:afterLines="0"/>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rPr>
                    <w:t>吨/a</w:t>
                  </w:r>
                </w:p>
              </w:tc>
              <w:tc>
                <w:tcPr>
                  <w:tcW w:w="1417" w:type="dxa"/>
                  <w:tcBorders>
                    <w:tl2br w:val="nil"/>
                    <w:tr2bl w:val="nil"/>
                  </w:tcBorders>
                  <w:shd w:val="clear" w:color="auto" w:fill="auto"/>
                  <w:noWrap w:val="0"/>
                  <w:vAlign w:val="center"/>
                </w:tcPr>
                <w:p w14:paraId="1E7C7691">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300</w:t>
                  </w:r>
                </w:p>
              </w:tc>
              <w:tc>
                <w:tcPr>
                  <w:tcW w:w="1417" w:type="dxa"/>
                  <w:tcBorders>
                    <w:tl2br w:val="nil"/>
                    <w:tr2bl w:val="nil"/>
                  </w:tcBorders>
                  <w:shd w:val="clear" w:color="auto" w:fill="auto"/>
                  <w:noWrap w:val="0"/>
                  <w:vAlign w:val="center"/>
                </w:tcPr>
                <w:p w14:paraId="5F4B8FDF">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300</w:t>
                  </w:r>
                </w:p>
              </w:tc>
              <w:tc>
                <w:tcPr>
                  <w:tcW w:w="1417" w:type="dxa"/>
                  <w:tcBorders>
                    <w:tl2br w:val="nil"/>
                    <w:tr2bl w:val="nil"/>
                  </w:tcBorders>
                  <w:noWrap w:val="0"/>
                  <w:vAlign w:val="center"/>
                </w:tcPr>
                <w:p w14:paraId="7C7993F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14:paraId="6A596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734" w:type="dxa"/>
                  <w:tcBorders>
                    <w:tl2br w:val="nil"/>
                    <w:tr2bl w:val="nil"/>
                  </w:tcBorders>
                  <w:noWrap w:val="0"/>
                  <w:vAlign w:val="center"/>
                </w:tcPr>
                <w:p w14:paraId="2C111431">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7</w:t>
                  </w:r>
                </w:p>
              </w:tc>
              <w:tc>
                <w:tcPr>
                  <w:tcW w:w="2822" w:type="dxa"/>
                  <w:tcBorders>
                    <w:tl2br w:val="nil"/>
                    <w:tr2bl w:val="nil"/>
                  </w:tcBorders>
                  <w:shd w:val="clear" w:color="auto" w:fill="auto"/>
                  <w:noWrap w:val="0"/>
                  <w:vAlign w:val="center"/>
                </w:tcPr>
                <w:p w14:paraId="56F0B1BC">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膨润土</w:t>
                  </w:r>
                </w:p>
              </w:tc>
              <w:tc>
                <w:tcPr>
                  <w:tcW w:w="1300" w:type="dxa"/>
                  <w:tcBorders>
                    <w:tl2br w:val="nil"/>
                    <w:tr2bl w:val="nil"/>
                  </w:tcBorders>
                  <w:noWrap w:val="0"/>
                  <w:vAlign w:val="center"/>
                </w:tcPr>
                <w:p w14:paraId="48650627">
                  <w:pPr>
                    <w:keepNext w:val="0"/>
                    <w:keepLines w:val="0"/>
                    <w:pageBreakBefore w:val="0"/>
                    <w:widowControl/>
                    <w:kinsoku/>
                    <w:wordWrap/>
                    <w:overflowPunct/>
                    <w:topLinePunct w:val="0"/>
                    <w:autoSpaceDE/>
                    <w:autoSpaceDN/>
                    <w:bidi w:val="0"/>
                    <w:adjustRightInd w:val="0"/>
                    <w:snapToGrid w:val="0"/>
                    <w:spacing w:after="0" w:afterLines="0"/>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rPr>
                    <w:t>吨/a</w:t>
                  </w:r>
                </w:p>
              </w:tc>
              <w:tc>
                <w:tcPr>
                  <w:tcW w:w="1417" w:type="dxa"/>
                  <w:tcBorders>
                    <w:tl2br w:val="nil"/>
                    <w:tr2bl w:val="nil"/>
                  </w:tcBorders>
                  <w:shd w:val="clear" w:color="auto" w:fill="auto"/>
                  <w:noWrap w:val="0"/>
                  <w:vAlign w:val="center"/>
                </w:tcPr>
                <w:p w14:paraId="0B13BBB2">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35</w:t>
                  </w:r>
                </w:p>
              </w:tc>
              <w:tc>
                <w:tcPr>
                  <w:tcW w:w="1417" w:type="dxa"/>
                  <w:tcBorders>
                    <w:tl2br w:val="nil"/>
                    <w:tr2bl w:val="nil"/>
                  </w:tcBorders>
                  <w:shd w:val="clear" w:color="auto" w:fill="auto"/>
                  <w:noWrap w:val="0"/>
                  <w:vAlign w:val="center"/>
                </w:tcPr>
                <w:p w14:paraId="067506D7">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35</w:t>
                  </w:r>
                </w:p>
              </w:tc>
              <w:tc>
                <w:tcPr>
                  <w:tcW w:w="1417" w:type="dxa"/>
                  <w:tcBorders>
                    <w:tl2br w:val="nil"/>
                    <w:tr2bl w:val="nil"/>
                  </w:tcBorders>
                  <w:noWrap w:val="0"/>
                  <w:vAlign w:val="center"/>
                </w:tcPr>
                <w:p w14:paraId="6AEDEA8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14:paraId="6BBC4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734" w:type="dxa"/>
                  <w:tcBorders>
                    <w:tl2br w:val="nil"/>
                    <w:tr2bl w:val="nil"/>
                  </w:tcBorders>
                  <w:noWrap w:val="0"/>
                  <w:vAlign w:val="center"/>
                </w:tcPr>
                <w:p w14:paraId="5977EB13">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8</w:t>
                  </w:r>
                </w:p>
              </w:tc>
              <w:tc>
                <w:tcPr>
                  <w:tcW w:w="2822" w:type="dxa"/>
                  <w:tcBorders>
                    <w:tl2br w:val="nil"/>
                    <w:tr2bl w:val="nil"/>
                  </w:tcBorders>
                  <w:shd w:val="clear" w:color="auto" w:fill="auto"/>
                  <w:noWrap w:val="0"/>
                  <w:vAlign w:val="center"/>
                </w:tcPr>
                <w:p w14:paraId="51699CBC">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铸造用煤粉</w:t>
                  </w:r>
                </w:p>
              </w:tc>
              <w:tc>
                <w:tcPr>
                  <w:tcW w:w="1300" w:type="dxa"/>
                  <w:tcBorders>
                    <w:tl2br w:val="nil"/>
                    <w:tr2bl w:val="nil"/>
                  </w:tcBorders>
                  <w:noWrap w:val="0"/>
                  <w:vAlign w:val="center"/>
                </w:tcPr>
                <w:p w14:paraId="6FF71759">
                  <w:pPr>
                    <w:keepNext w:val="0"/>
                    <w:keepLines w:val="0"/>
                    <w:pageBreakBefore w:val="0"/>
                    <w:widowControl/>
                    <w:kinsoku/>
                    <w:wordWrap/>
                    <w:overflowPunct/>
                    <w:topLinePunct w:val="0"/>
                    <w:autoSpaceDE/>
                    <w:autoSpaceDN/>
                    <w:bidi w:val="0"/>
                    <w:adjustRightInd w:val="0"/>
                    <w:snapToGrid w:val="0"/>
                    <w:spacing w:after="0" w:afterLines="0"/>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rPr>
                    <w:t>吨/a</w:t>
                  </w:r>
                </w:p>
              </w:tc>
              <w:tc>
                <w:tcPr>
                  <w:tcW w:w="1417" w:type="dxa"/>
                  <w:tcBorders>
                    <w:tl2br w:val="nil"/>
                    <w:tr2bl w:val="nil"/>
                  </w:tcBorders>
                  <w:shd w:val="clear" w:color="auto" w:fill="auto"/>
                  <w:noWrap w:val="0"/>
                  <w:vAlign w:val="center"/>
                </w:tcPr>
                <w:p w14:paraId="31DC1766">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15</w:t>
                  </w:r>
                </w:p>
              </w:tc>
              <w:tc>
                <w:tcPr>
                  <w:tcW w:w="1417" w:type="dxa"/>
                  <w:tcBorders>
                    <w:tl2br w:val="nil"/>
                    <w:tr2bl w:val="nil"/>
                  </w:tcBorders>
                  <w:shd w:val="clear" w:color="auto" w:fill="auto"/>
                  <w:noWrap w:val="0"/>
                  <w:vAlign w:val="center"/>
                </w:tcPr>
                <w:p w14:paraId="6D731C10">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15</w:t>
                  </w:r>
                </w:p>
              </w:tc>
              <w:tc>
                <w:tcPr>
                  <w:tcW w:w="1417" w:type="dxa"/>
                  <w:tcBorders>
                    <w:tl2br w:val="nil"/>
                    <w:tr2bl w:val="nil"/>
                  </w:tcBorders>
                  <w:noWrap w:val="0"/>
                  <w:vAlign w:val="center"/>
                </w:tcPr>
                <w:p w14:paraId="5B030DB0">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14:paraId="27AD3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734" w:type="dxa"/>
                  <w:tcBorders>
                    <w:tl2br w:val="nil"/>
                    <w:tr2bl w:val="nil"/>
                  </w:tcBorders>
                  <w:noWrap w:val="0"/>
                  <w:vAlign w:val="center"/>
                </w:tcPr>
                <w:p w14:paraId="778DC9B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9</w:t>
                  </w:r>
                </w:p>
              </w:tc>
              <w:tc>
                <w:tcPr>
                  <w:tcW w:w="2822" w:type="dxa"/>
                  <w:tcBorders>
                    <w:tl2br w:val="nil"/>
                    <w:tr2bl w:val="nil"/>
                  </w:tcBorders>
                  <w:shd w:val="clear" w:color="auto" w:fill="auto"/>
                  <w:noWrap w:val="0"/>
                  <w:vAlign w:val="center"/>
                </w:tcPr>
                <w:p w14:paraId="1E184B48">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highlight w:val="none"/>
                      <w:lang w:val="en-US" w:eastAsia="zh-CN"/>
                    </w:rPr>
                  </w:pPr>
                  <w:r>
                    <w:rPr>
                      <w:rFonts w:hint="default" w:ascii="Times New Roman" w:hAnsi="Times New Roman" w:eastAsia="宋体" w:cs="Times New Roman"/>
                      <w:color w:val="000000"/>
                      <w:kern w:val="0"/>
                      <w:sz w:val="21"/>
                      <w:szCs w:val="21"/>
                      <w:highlight w:val="none"/>
                      <w:lang w:val="en-US" w:eastAsia="zh-CN"/>
                    </w:rPr>
                    <w:t>钢丸</w:t>
                  </w:r>
                </w:p>
              </w:tc>
              <w:tc>
                <w:tcPr>
                  <w:tcW w:w="1300" w:type="dxa"/>
                  <w:tcBorders>
                    <w:tl2br w:val="nil"/>
                    <w:tr2bl w:val="nil"/>
                  </w:tcBorders>
                  <w:noWrap w:val="0"/>
                  <w:vAlign w:val="center"/>
                </w:tcPr>
                <w:p w14:paraId="77C80BB1">
                  <w:pPr>
                    <w:keepNext w:val="0"/>
                    <w:keepLines w:val="0"/>
                    <w:pageBreakBefore w:val="0"/>
                    <w:widowControl/>
                    <w:kinsoku/>
                    <w:wordWrap/>
                    <w:overflowPunct/>
                    <w:topLinePunct w:val="0"/>
                    <w:autoSpaceDE/>
                    <w:autoSpaceDN/>
                    <w:bidi w:val="0"/>
                    <w:adjustRightInd w:val="0"/>
                    <w:snapToGrid w:val="0"/>
                    <w:spacing w:after="0" w:afterLines="0"/>
                    <w:jc w:val="center"/>
                    <w:textAlignment w:val="auto"/>
                    <w:rPr>
                      <w:rFonts w:hint="default" w:ascii="Times New Roman" w:hAnsi="Times New Roman" w:cs="Times New Roman" w:eastAsiaTheme="minorEastAsia"/>
                      <w:sz w:val="21"/>
                      <w:szCs w:val="21"/>
                      <w:highlight w:val="yellow"/>
                      <w:lang w:val="en-US" w:eastAsia="zh-CN" w:bidi="ar-SA"/>
                    </w:rPr>
                  </w:pPr>
                  <w:r>
                    <w:rPr>
                      <w:rFonts w:hint="default" w:ascii="Times New Roman" w:hAnsi="Times New Roman" w:cs="Times New Roman" w:eastAsiaTheme="minorEastAsia"/>
                      <w:sz w:val="21"/>
                      <w:szCs w:val="21"/>
                      <w:lang w:eastAsia="zh-CN"/>
                    </w:rPr>
                    <w:t>瓶</w:t>
                  </w:r>
                  <w:r>
                    <w:rPr>
                      <w:rFonts w:hint="default" w:ascii="Times New Roman" w:hAnsi="Times New Roman" w:cs="Times New Roman" w:eastAsiaTheme="minorEastAsia"/>
                      <w:sz w:val="21"/>
                      <w:szCs w:val="21"/>
                    </w:rPr>
                    <w:t>/a</w:t>
                  </w:r>
                </w:p>
              </w:tc>
              <w:tc>
                <w:tcPr>
                  <w:tcW w:w="1417" w:type="dxa"/>
                  <w:tcBorders>
                    <w:tl2br w:val="nil"/>
                    <w:tr2bl w:val="nil"/>
                  </w:tcBorders>
                  <w:shd w:val="clear" w:color="auto" w:fill="auto"/>
                  <w:noWrap w:val="0"/>
                  <w:vAlign w:val="center"/>
                </w:tcPr>
                <w:p w14:paraId="0913F44E">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4</w:t>
                  </w:r>
                </w:p>
              </w:tc>
              <w:tc>
                <w:tcPr>
                  <w:tcW w:w="1417" w:type="dxa"/>
                  <w:tcBorders>
                    <w:tl2br w:val="nil"/>
                    <w:tr2bl w:val="nil"/>
                  </w:tcBorders>
                  <w:shd w:val="clear" w:color="auto" w:fill="auto"/>
                  <w:noWrap w:val="0"/>
                  <w:vAlign w:val="center"/>
                </w:tcPr>
                <w:p w14:paraId="2983AA63">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4</w:t>
                  </w:r>
                </w:p>
              </w:tc>
              <w:tc>
                <w:tcPr>
                  <w:tcW w:w="1417" w:type="dxa"/>
                  <w:tcBorders>
                    <w:tl2br w:val="nil"/>
                    <w:tr2bl w:val="nil"/>
                  </w:tcBorders>
                  <w:noWrap w:val="0"/>
                  <w:vAlign w:val="center"/>
                </w:tcPr>
                <w:p w14:paraId="6C3BF2D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14:paraId="004E1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734" w:type="dxa"/>
                  <w:tcBorders>
                    <w:tl2br w:val="nil"/>
                    <w:tr2bl w:val="nil"/>
                  </w:tcBorders>
                  <w:noWrap w:val="0"/>
                  <w:vAlign w:val="center"/>
                </w:tcPr>
                <w:p w14:paraId="0AA9000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10</w:t>
                  </w:r>
                </w:p>
              </w:tc>
              <w:tc>
                <w:tcPr>
                  <w:tcW w:w="2822" w:type="dxa"/>
                  <w:tcBorders>
                    <w:tl2br w:val="nil"/>
                    <w:tr2bl w:val="nil"/>
                  </w:tcBorders>
                  <w:noWrap w:val="0"/>
                  <w:vAlign w:val="center"/>
                </w:tcPr>
                <w:p w14:paraId="3B0270DE">
                  <w:pPr>
                    <w:keepNext w:val="0"/>
                    <w:keepLines w:val="0"/>
                    <w:pageBreakBefore w:val="0"/>
                    <w:widowControl/>
                    <w:kinsoku/>
                    <w:wordWrap/>
                    <w:overflowPunct/>
                    <w:topLinePunct w:val="0"/>
                    <w:autoSpaceDE/>
                    <w:autoSpaceDN/>
                    <w:bidi w:val="0"/>
                    <w:adjustRightInd w:val="0"/>
                    <w:snapToGrid w:val="0"/>
                    <w:spacing w:after="0" w:afterLines="0"/>
                    <w:jc w:val="center"/>
                    <w:textAlignment w:val="auto"/>
                    <w:rPr>
                      <w:rFonts w:hint="default" w:ascii="Times New Roman" w:hAnsi="Times New Roman" w:cs="Times New Roman" w:eastAsiaTheme="minorEastAsia"/>
                      <w:sz w:val="21"/>
                      <w:szCs w:val="21"/>
                      <w:highlight w:val="none"/>
                      <w:lang w:val="en-US" w:eastAsia="zh-CN" w:bidi="ar-SA"/>
                    </w:rPr>
                  </w:pPr>
                  <w:r>
                    <w:rPr>
                      <w:rFonts w:hint="eastAsia" w:ascii="Times New Roman" w:hAnsi="Times New Roman" w:cs="Times New Roman" w:eastAsiaTheme="minorEastAsia"/>
                      <w:sz w:val="21"/>
                      <w:szCs w:val="21"/>
                      <w:lang w:val="en-US" w:eastAsia="zh-CN"/>
                    </w:rPr>
                    <w:t>电</w:t>
                  </w:r>
                </w:p>
              </w:tc>
              <w:tc>
                <w:tcPr>
                  <w:tcW w:w="1300" w:type="dxa"/>
                  <w:tcBorders>
                    <w:tl2br w:val="nil"/>
                    <w:tr2bl w:val="nil"/>
                  </w:tcBorders>
                  <w:noWrap w:val="0"/>
                  <w:vAlign w:val="center"/>
                </w:tcPr>
                <w:p w14:paraId="58F6DB31">
                  <w:pPr>
                    <w:keepNext w:val="0"/>
                    <w:keepLines w:val="0"/>
                    <w:pageBreakBefore w:val="0"/>
                    <w:widowControl/>
                    <w:kinsoku/>
                    <w:wordWrap/>
                    <w:overflowPunct/>
                    <w:topLinePunct w:val="0"/>
                    <w:autoSpaceDE/>
                    <w:autoSpaceDN/>
                    <w:bidi w:val="0"/>
                    <w:adjustRightInd w:val="0"/>
                    <w:snapToGrid w:val="0"/>
                    <w:spacing w:after="0" w:afterLines="0"/>
                    <w:jc w:val="center"/>
                    <w:textAlignment w:val="auto"/>
                    <w:rPr>
                      <w:rFonts w:hint="default" w:ascii="Times New Roman" w:hAnsi="Times New Roman" w:cs="Times New Roman" w:eastAsiaTheme="minorEastAsia"/>
                      <w:sz w:val="21"/>
                      <w:szCs w:val="21"/>
                      <w:highlight w:val="none"/>
                      <w:lang w:val="en-US" w:eastAsia="zh-CN" w:bidi="ar-SA"/>
                    </w:rPr>
                  </w:pPr>
                  <w:r>
                    <w:rPr>
                      <w:rFonts w:hint="eastAsia" w:ascii="Times New Roman" w:hAnsi="Times New Roman" w:cs="Times New Roman" w:eastAsiaTheme="minorEastAsia"/>
                      <w:sz w:val="21"/>
                      <w:szCs w:val="21"/>
                      <w:lang w:val="en-US" w:eastAsia="zh-CN"/>
                    </w:rPr>
                    <w:t>万kwh/a</w:t>
                  </w:r>
                </w:p>
              </w:tc>
              <w:tc>
                <w:tcPr>
                  <w:tcW w:w="1417" w:type="dxa"/>
                  <w:tcBorders>
                    <w:tl2br w:val="nil"/>
                    <w:tr2bl w:val="nil"/>
                  </w:tcBorders>
                  <w:shd w:val="clear" w:color="auto" w:fill="auto"/>
                  <w:noWrap w:val="0"/>
                  <w:vAlign w:val="center"/>
                </w:tcPr>
                <w:p w14:paraId="5A021770">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400</w:t>
                  </w:r>
                </w:p>
              </w:tc>
              <w:tc>
                <w:tcPr>
                  <w:tcW w:w="1417" w:type="dxa"/>
                  <w:tcBorders>
                    <w:tl2br w:val="nil"/>
                    <w:tr2bl w:val="nil"/>
                  </w:tcBorders>
                  <w:shd w:val="clear" w:color="auto" w:fill="auto"/>
                  <w:noWrap w:val="0"/>
                  <w:vAlign w:val="center"/>
                </w:tcPr>
                <w:p w14:paraId="4EABDBFA">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400</w:t>
                  </w:r>
                </w:p>
              </w:tc>
              <w:tc>
                <w:tcPr>
                  <w:tcW w:w="1417" w:type="dxa"/>
                  <w:tcBorders>
                    <w:tl2br w:val="nil"/>
                    <w:tr2bl w:val="nil"/>
                  </w:tcBorders>
                  <w:noWrap w:val="0"/>
                  <w:vAlign w:val="center"/>
                </w:tcPr>
                <w:p w14:paraId="4056EB86">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14:paraId="5A53B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4" w:type="dxa"/>
                  <w:tcBorders>
                    <w:tl2br w:val="nil"/>
                    <w:tr2bl w:val="nil"/>
                  </w:tcBorders>
                  <w:noWrap w:val="0"/>
                  <w:vAlign w:val="center"/>
                </w:tcPr>
                <w:p w14:paraId="31A5FB65">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11</w:t>
                  </w:r>
                </w:p>
              </w:tc>
              <w:tc>
                <w:tcPr>
                  <w:tcW w:w="2822" w:type="dxa"/>
                  <w:tcBorders>
                    <w:tl2br w:val="nil"/>
                    <w:tr2bl w:val="nil"/>
                  </w:tcBorders>
                  <w:noWrap w:val="0"/>
                  <w:vAlign w:val="center"/>
                </w:tcPr>
                <w:p w14:paraId="26A677EE">
                  <w:pPr>
                    <w:keepNext w:val="0"/>
                    <w:keepLines w:val="0"/>
                    <w:pageBreakBefore w:val="0"/>
                    <w:widowControl/>
                    <w:kinsoku/>
                    <w:wordWrap/>
                    <w:overflowPunct/>
                    <w:topLinePunct w:val="0"/>
                    <w:autoSpaceDE/>
                    <w:autoSpaceDN/>
                    <w:bidi w:val="0"/>
                    <w:adjustRightInd/>
                    <w:snapToGrid/>
                    <w:spacing w:after="0" w:afterLines="0" w:line="240" w:lineRule="auto"/>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新鲜水</w:t>
                  </w:r>
                </w:p>
              </w:tc>
              <w:tc>
                <w:tcPr>
                  <w:tcW w:w="1300" w:type="dxa"/>
                  <w:tcBorders>
                    <w:tl2br w:val="nil"/>
                    <w:tr2bl w:val="nil"/>
                  </w:tcBorders>
                  <w:noWrap w:val="0"/>
                  <w:vAlign w:val="center"/>
                </w:tcPr>
                <w:p w14:paraId="6853729E">
                  <w:pPr>
                    <w:keepNext w:val="0"/>
                    <w:keepLines w:val="0"/>
                    <w:pageBreakBefore w:val="0"/>
                    <w:widowControl/>
                    <w:kinsoku/>
                    <w:wordWrap/>
                    <w:overflowPunct/>
                    <w:topLinePunct w:val="0"/>
                    <w:autoSpaceDE/>
                    <w:autoSpaceDN/>
                    <w:bidi w:val="0"/>
                    <w:adjustRightInd w:val="0"/>
                    <w:snapToGrid w:val="0"/>
                    <w:spacing w:after="0" w:afterLines="0"/>
                    <w:jc w:val="center"/>
                    <w:textAlignment w:val="auto"/>
                    <w:rPr>
                      <w:rFonts w:hint="default" w:ascii="Times New Roman" w:hAnsi="Times New Roman" w:cs="Times New Roman" w:eastAsiaTheme="minorEastAsia"/>
                      <w:sz w:val="21"/>
                      <w:szCs w:val="21"/>
                      <w:highlight w:val="none"/>
                      <w:lang w:val="en-US" w:eastAsia="zh-CN" w:bidi="ar-SA"/>
                    </w:rPr>
                  </w:pPr>
                  <w:r>
                    <w:rPr>
                      <w:rFonts w:hint="default" w:ascii="Times New Roman" w:hAnsi="Times New Roman" w:cs="Times New Roman" w:eastAsiaTheme="minorEastAsia"/>
                      <w:sz w:val="21"/>
                      <w:szCs w:val="21"/>
                      <w:highlight w:val="none"/>
                    </w:rPr>
                    <w:t>m</w:t>
                  </w:r>
                  <w:r>
                    <w:rPr>
                      <w:rFonts w:hint="default" w:ascii="Times New Roman" w:hAnsi="Times New Roman" w:cs="Times New Roman" w:eastAsiaTheme="minorEastAsia"/>
                      <w:sz w:val="21"/>
                      <w:szCs w:val="21"/>
                      <w:highlight w:val="none"/>
                      <w:vertAlign w:val="superscript"/>
                    </w:rPr>
                    <w:t>3</w:t>
                  </w:r>
                  <w:r>
                    <w:rPr>
                      <w:rFonts w:hint="default" w:ascii="Times New Roman" w:hAnsi="Times New Roman" w:cs="Times New Roman" w:eastAsiaTheme="minorEastAsia"/>
                      <w:sz w:val="21"/>
                      <w:szCs w:val="21"/>
                      <w:highlight w:val="none"/>
                    </w:rPr>
                    <w:t>/a</w:t>
                  </w:r>
                </w:p>
              </w:tc>
              <w:tc>
                <w:tcPr>
                  <w:tcW w:w="1417" w:type="dxa"/>
                  <w:tcBorders>
                    <w:tl2br w:val="nil"/>
                    <w:tr2bl w:val="nil"/>
                  </w:tcBorders>
                  <w:shd w:val="clear" w:color="auto" w:fill="auto"/>
                  <w:noWrap w:val="0"/>
                  <w:vAlign w:val="center"/>
                </w:tcPr>
                <w:p w14:paraId="527D9774">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3750</w:t>
                  </w:r>
                </w:p>
              </w:tc>
              <w:tc>
                <w:tcPr>
                  <w:tcW w:w="1417" w:type="dxa"/>
                  <w:tcBorders>
                    <w:tl2br w:val="nil"/>
                    <w:tr2bl w:val="nil"/>
                  </w:tcBorders>
                  <w:shd w:val="clear" w:color="auto" w:fill="auto"/>
                  <w:noWrap w:val="0"/>
                  <w:vAlign w:val="center"/>
                </w:tcPr>
                <w:p w14:paraId="5B0812D2">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highlight w:val="none"/>
                      <w:lang w:val="en-US" w:eastAsia="zh-CN"/>
                    </w:rPr>
                  </w:pPr>
                  <w:r>
                    <w:rPr>
                      <w:rFonts w:hint="eastAsia" w:ascii="Times New Roman" w:hAnsi="Times New Roman" w:eastAsia="宋体" w:cs="Times New Roman"/>
                      <w:color w:val="000000"/>
                      <w:kern w:val="0"/>
                      <w:sz w:val="21"/>
                      <w:szCs w:val="21"/>
                      <w:highlight w:val="none"/>
                      <w:lang w:val="en-US" w:eastAsia="zh-CN"/>
                    </w:rPr>
                    <w:t>3750</w:t>
                  </w:r>
                </w:p>
              </w:tc>
              <w:tc>
                <w:tcPr>
                  <w:tcW w:w="1417" w:type="dxa"/>
                  <w:tcBorders>
                    <w:tl2br w:val="nil"/>
                    <w:tr2bl w:val="nil"/>
                  </w:tcBorders>
                  <w:noWrap w:val="0"/>
                  <w:vAlign w:val="center"/>
                </w:tcPr>
                <w:p w14:paraId="1AD97ACD">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bl>
          <w:p w14:paraId="3AFAE16B">
            <w:pPr>
              <w:pStyle w:val="26"/>
              <w:keepNext w:val="0"/>
              <w:keepLines w:val="0"/>
              <w:pageBreakBefore w:val="0"/>
              <w:widowControl/>
              <w:kinsoku/>
              <w:wordWrap/>
              <w:overflowPunct/>
              <w:topLinePunct w:val="0"/>
              <w:autoSpaceDE/>
              <w:autoSpaceDN/>
              <w:bidi w:val="0"/>
              <w:adjustRightInd/>
              <w:snapToGrid/>
              <w:spacing w:after="0" w:afterLines="0" w:line="520" w:lineRule="exact"/>
              <w:ind w:left="0" w:leftChars="0" w:firstLine="0" w:firstLineChars="0"/>
              <w:textAlignment w:val="baseline"/>
              <w:outlineLvl w:val="9"/>
              <w:rPr>
                <w:rFonts w:hint="eastAsia" w:ascii="Times New Roman" w:hAnsi="Times New Roman" w:eastAsia="宋体" w:cs="Times New Roman"/>
                <w:b/>
                <w:bCs/>
                <w:color w:val="000000" w:themeColor="text1"/>
                <w:kern w:val="0"/>
                <w:sz w:val="24"/>
                <w:szCs w:val="24"/>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0"/>
                <w:sz w:val="24"/>
                <w:szCs w:val="24"/>
                <w:lang w:val="en-US" w:eastAsia="zh-CN" w:bidi="ar-SA"/>
                <w14:textFill>
                  <w14:solidFill>
                    <w14:schemeClr w14:val="tx1"/>
                  </w14:solidFill>
                </w14:textFill>
              </w:rPr>
              <w:t>给排水：</w:t>
            </w:r>
          </w:p>
          <w:p w14:paraId="35C9685E">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eastAsia="宋体" w:cs="Times New Roman"/>
                <w:kern w:val="24"/>
                <w:sz w:val="24"/>
                <w:szCs w:val="22"/>
                <w:lang w:val="en-US" w:eastAsia="zh-CN" w:bidi="ar-SA"/>
              </w:rPr>
            </w:pPr>
            <w:r>
              <w:rPr>
                <w:rFonts w:hint="eastAsia" w:ascii="Times New Roman" w:hAnsi="Times New Roman" w:eastAsia="宋体" w:cs="Times New Roman"/>
                <w:kern w:val="24"/>
                <w:sz w:val="24"/>
                <w:szCs w:val="22"/>
                <w:lang w:val="en-US" w:eastAsia="zh-CN" w:bidi="ar-SA"/>
              </w:rPr>
              <w:t>①</w:t>
            </w:r>
            <w:r>
              <w:rPr>
                <w:rFonts w:hint="default" w:ascii="Times New Roman" w:hAnsi="Times New Roman" w:eastAsia="宋体" w:cs="Times New Roman"/>
                <w:kern w:val="24"/>
                <w:sz w:val="24"/>
                <w:szCs w:val="22"/>
                <w:lang w:val="en-US" w:eastAsia="zh-CN" w:bidi="ar-SA"/>
              </w:rPr>
              <w:t>生产用水</w:t>
            </w:r>
          </w:p>
          <w:p w14:paraId="3670D6C2">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eastAsia="宋体" w:cs="Times New Roman"/>
                <w:kern w:val="24"/>
                <w:sz w:val="24"/>
                <w:szCs w:val="22"/>
                <w:lang w:val="en-US" w:eastAsia="zh-CN" w:bidi="ar-SA"/>
              </w:rPr>
            </w:pPr>
            <w:r>
              <w:rPr>
                <w:rFonts w:hint="eastAsia" w:ascii="Times New Roman" w:hAnsi="Times New Roman" w:eastAsia="宋体" w:cs="Times New Roman"/>
                <w:kern w:val="24"/>
                <w:sz w:val="24"/>
                <w:szCs w:val="22"/>
                <w:lang w:val="en-US" w:eastAsia="zh-CN" w:bidi="ar-SA"/>
              </w:rPr>
              <w:t>A、冷却循环用水</w:t>
            </w:r>
          </w:p>
          <w:p w14:paraId="1F2F4FA7">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eastAsia="宋体" w:cs="Times New Roman"/>
                <w:kern w:val="24"/>
                <w:sz w:val="24"/>
                <w:szCs w:val="22"/>
                <w:lang w:val="en-US" w:eastAsia="zh-CN" w:bidi="ar-SA"/>
              </w:rPr>
            </w:pPr>
            <w:r>
              <w:rPr>
                <w:rFonts w:hint="eastAsia" w:ascii="Times New Roman" w:hAnsi="Times New Roman" w:eastAsia="宋体" w:cs="Times New Roman"/>
                <w:kern w:val="24"/>
                <w:sz w:val="24"/>
                <w:szCs w:val="22"/>
                <w:lang w:val="en-US" w:eastAsia="zh-CN" w:bidi="ar-SA"/>
              </w:rPr>
              <w:t>电</w:t>
            </w:r>
            <w:r>
              <w:rPr>
                <w:rFonts w:hint="default" w:ascii="Times New Roman" w:hAnsi="Times New Roman" w:eastAsia="宋体" w:cs="Times New Roman"/>
                <w:kern w:val="24"/>
                <w:sz w:val="24"/>
                <w:szCs w:val="22"/>
                <w:lang w:val="en-US" w:eastAsia="zh-CN" w:bidi="ar-SA"/>
              </w:rPr>
              <w:t>炉在运行过程中需</w:t>
            </w:r>
            <w:r>
              <w:rPr>
                <w:rFonts w:hint="eastAsia" w:ascii="Times New Roman" w:hAnsi="Times New Roman" w:eastAsia="宋体" w:cs="Times New Roman"/>
                <w:kern w:val="24"/>
                <w:sz w:val="24"/>
                <w:szCs w:val="22"/>
                <w:lang w:val="en-US" w:eastAsia="zh-CN" w:bidi="ar-SA"/>
              </w:rPr>
              <w:t>同步</w:t>
            </w:r>
            <w:r>
              <w:rPr>
                <w:rFonts w:hint="default" w:ascii="Times New Roman" w:hAnsi="Times New Roman" w:eastAsia="宋体" w:cs="Times New Roman"/>
                <w:kern w:val="24"/>
                <w:sz w:val="24"/>
                <w:szCs w:val="22"/>
                <w:lang w:val="en-US" w:eastAsia="zh-CN" w:bidi="ar-SA"/>
              </w:rPr>
              <w:t>采用循环水进行间接冷却。本项目</w:t>
            </w:r>
            <w:r>
              <w:rPr>
                <w:rFonts w:hint="eastAsia" w:ascii="Times New Roman" w:hAnsi="Times New Roman" w:eastAsia="宋体" w:cs="Times New Roman"/>
                <w:kern w:val="24"/>
                <w:sz w:val="24"/>
                <w:szCs w:val="22"/>
                <w:lang w:val="en-US" w:eastAsia="zh-CN" w:bidi="ar-SA"/>
              </w:rPr>
              <w:t>设有1台冷却循环塔，</w:t>
            </w:r>
            <w:r>
              <w:rPr>
                <w:rFonts w:hint="default" w:ascii="Times New Roman" w:hAnsi="Times New Roman" w:eastAsia="宋体" w:cs="Times New Roman"/>
                <w:kern w:val="24"/>
                <w:sz w:val="24"/>
                <w:szCs w:val="22"/>
                <w:lang w:val="en-US" w:eastAsia="zh-CN" w:bidi="ar-SA"/>
              </w:rPr>
              <w:t>依据设计资料，电炉循环水量约为</w:t>
            </w:r>
            <w:r>
              <w:rPr>
                <w:rFonts w:hint="eastAsia" w:ascii="Times New Roman" w:hAnsi="Times New Roman" w:eastAsia="宋体" w:cs="Times New Roman"/>
                <w:kern w:val="24"/>
                <w:sz w:val="24"/>
                <w:szCs w:val="22"/>
                <w:lang w:val="en-US" w:eastAsia="zh-CN" w:bidi="ar-SA"/>
              </w:rPr>
              <w:t>30</w:t>
            </w:r>
            <w:r>
              <w:rPr>
                <w:rFonts w:hint="default" w:ascii="Times New Roman" w:hAnsi="Times New Roman" w:eastAsia="宋体" w:cs="Times New Roman"/>
                <w:kern w:val="24"/>
                <w:sz w:val="24"/>
                <w:szCs w:val="22"/>
                <w:lang w:val="en-US" w:eastAsia="zh-CN" w:bidi="ar-SA"/>
              </w:rPr>
              <w:t>m</w:t>
            </w:r>
            <w:r>
              <w:rPr>
                <w:rFonts w:hint="default" w:ascii="Times New Roman" w:hAnsi="Times New Roman" w:eastAsia="宋体" w:cs="Times New Roman"/>
                <w:kern w:val="24"/>
                <w:sz w:val="24"/>
                <w:szCs w:val="22"/>
                <w:vertAlign w:val="superscript"/>
                <w:lang w:val="en-US" w:eastAsia="zh-CN" w:bidi="ar-SA"/>
              </w:rPr>
              <w:t>3</w:t>
            </w:r>
            <w:r>
              <w:rPr>
                <w:rFonts w:hint="default" w:ascii="Times New Roman" w:hAnsi="Times New Roman" w:eastAsia="宋体" w:cs="Times New Roman"/>
                <w:kern w:val="24"/>
                <w:sz w:val="24"/>
                <w:szCs w:val="22"/>
                <w:lang w:val="en-US" w:eastAsia="zh-CN" w:bidi="ar-SA"/>
              </w:rPr>
              <w:t>/h，水在使用过程中由于自然蒸发会损耗一部分，需定期补充新水。本评价蒸发损失率按1.7%计，蒸发耗散量为</w:t>
            </w:r>
            <w:r>
              <w:rPr>
                <w:rFonts w:hint="eastAsia" w:ascii="Times New Roman" w:hAnsi="Times New Roman" w:eastAsia="宋体" w:cs="Times New Roman"/>
                <w:kern w:val="24"/>
                <w:sz w:val="24"/>
                <w:szCs w:val="22"/>
                <w:lang w:val="en-US" w:eastAsia="zh-CN" w:bidi="ar-SA"/>
              </w:rPr>
              <w:t>12.24</w:t>
            </w:r>
            <w:r>
              <w:rPr>
                <w:rFonts w:hint="default" w:ascii="Times New Roman" w:hAnsi="Times New Roman" w:eastAsia="宋体" w:cs="Times New Roman"/>
                <w:kern w:val="24"/>
                <w:sz w:val="24"/>
                <w:szCs w:val="22"/>
                <w:lang w:val="en-US" w:eastAsia="zh-CN" w:bidi="ar-SA"/>
              </w:rPr>
              <w:t>m</w:t>
            </w:r>
            <w:r>
              <w:rPr>
                <w:rFonts w:hint="default" w:ascii="Times New Roman" w:hAnsi="Times New Roman" w:eastAsia="宋体" w:cs="Times New Roman"/>
                <w:kern w:val="24"/>
                <w:sz w:val="24"/>
                <w:szCs w:val="22"/>
                <w:vertAlign w:val="superscript"/>
                <w:lang w:val="en-US" w:eastAsia="zh-CN" w:bidi="ar-SA"/>
              </w:rPr>
              <w:t>3</w:t>
            </w:r>
            <w:r>
              <w:rPr>
                <w:rFonts w:hint="default" w:ascii="Times New Roman" w:hAnsi="Times New Roman" w:eastAsia="宋体" w:cs="Times New Roman"/>
                <w:kern w:val="24"/>
                <w:sz w:val="24"/>
                <w:szCs w:val="22"/>
                <w:lang w:val="en-US" w:eastAsia="zh-CN" w:bidi="ar-SA"/>
              </w:rPr>
              <w:t>/d（</w:t>
            </w:r>
            <w:r>
              <w:rPr>
                <w:rFonts w:hint="eastAsia" w:ascii="Times New Roman" w:hAnsi="Times New Roman" w:eastAsia="宋体" w:cs="Times New Roman"/>
                <w:kern w:val="24"/>
                <w:sz w:val="24"/>
                <w:szCs w:val="22"/>
                <w:lang w:val="en-US" w:eastAsia="zh-CN" w:bidi="ar-SA"/>
              </w:rPr>
              <w:t>3060</w:t>
            </w:r>
            <w:r>
              <w:rPr>
                <w:rFonts w:hint="default" w:ascii="Times New Roman" w:hAnsi="Times New Roman" w:eastAsia="宋体" w:cs="Times New Roman"/>
                <w:kern w:val="24"/>
                <w:sz w:val="24"/>
                <w:szCs w:val="22"/>
                <w:lang w:val="en-US" w:eastAsia="zh-CN" w:bidi="ar-SA"/>
              </w:rPr>
              <w:t>m</w:t>
            </w:r>
            <w:r>
              <w:rPr>
                <w:rFonts w:hint="default" w:ascii="Times New Roman" w:hAnsi="Times New Roman" w:eastAsia="宋体" w:cs="Times New Roman"/>
                <w:kern w:val="24"/>
                <w:sz w:val="24"/>
                <w:szCs w:val="22"/>
                <w:vertAlign w:val="superscript"/>
                <w:lang w:val="en-US" w:eastAsia="zh-CN" w:bidi="ar-SA"/>
              </w:rPr>
              <w:t>3</w:t>
            </w:r>
            <w:r>
              <w:rPr>
                <w:rFonts w:hint="default" w:ascii="Times New Roman" w:hAnsi="Times New Roman" w:eastAsia="宋体" w:cs="Times New Roman"/>
                <w:kern w:val="24"/>
                <w:sz w:val="24"/>
                <w:szCs w:val="22"/>
                <w:lang w:val="en-US" w:eastAsia="zh-CN" w:bidi="ar-SA"/>
              </w:rPr>
              <w:t>/a），这部分蒸发耗散掉的水需加入新鲜水进行补充，新鲜水补充量为</w:t>
            </w:r>
            <w:r>
              <w:rPr>
                <w:rFonts w:hint="eastAsia" w:ascii="Times New Roman" w:hAnsi="Times New Roman" w:eastAsia="宋体" w:cs="Times New Roman"/>
                <w:kern w:val="24"/>
                <w:sz w:val="24"/>
                <w:szCs w:val="22"/>
                <w:lang w:val="en-US" w:eastAsia="zh-CN" w:bidi="ar-SA"/>
              </w:rPr>
              <w:t>12.24</w:t>
            </w:r>
            <w:r>
              <w:rPr>
                <w:rFonts w:hint="default" w:ascii="Times New Roman" w:hAnsi="Times New Roman" w:eastAsia="宋体" w:cs="Times New Roman"/>
                <w:kern w:val="24"/>
                <w:sz w:val="24"/>
                <w:szCs w:val="22"/>
                <w:lang w:val="en-US" w:eastAsia="zh-CN" w:bidi="ar-SA"/>
              </w:rPr>
              <w:t>m</w:t>
            </w:r>
            <w:r>
              <w:rPr>
                <w:rFonts w:hint="default" w:ascii="Times New Roman" w:hAnsi="Times New Roman" w:eastAsia="宋体" w:cs="Times New Roman"/>
                <w:kern w:val="24"/>
                <w:sz w:val="24"/>
                <w:szCs w:val="22"/>
                <w:vertAlign w:val="superscript"/>
                <w:lang w:val="en-US" w:eastAsia="zh-CN" w:bidi="ar-SA"/>
              </w:rPr>
              <w:t>3</w:t>
            </w:r>
            <w:r>
              <w:rPr>
                <w:rFonts w:hint="default" w:ascii="Times New Roman" w:hAnsi="Times New Roman" w:eastAsia="宋体" w:cs="Times New Roman"/>
                <w:kern w:val="24"/>
                <w:sz w:val="24"/>
                <w:szCs w:val="22"/>
                <w:lang w:val="en-US" w:eastAsia="zh-CN" w:bidi="ar-SA"/>
              </w:rPr>
              <w:t>/d（</w:t>
            </w:r>
            <w:r>
              <w:rPr>
                <w:rFonts w:hint="eastAsia" w:ascii="Times New Roman" w:hAnsi="Times New Roman" w:eastAsia="宋体" w:cs="Times New Roman"/>
                <w:kern w:val="24"/>
                <w:sz w:val="24"/>
                <w:szCs w:val="22"/>
                <w:lang w:val="en-US" w:eastAsia="zh-CN" w:bidi="ar-SA"/>
              </w:rPr>
              <w:t>3060</w:t>
            </w:r>
            <w:r>
              <w:rPr>
                <w:rFonts w:hint="default" w:ascii="Times New Roman" w:hAnsi="Times New Roman" w:eastAsia="宋体" w:cs="Times New Roman"/>
                <w:kern w:val="24"/>
                <w:sz w:val="24"/>
                <w:szCs w:val="22"/>
                <w:lang w:val="en-US" w:eastAsia="zh-CN" w:bidi="ar-SA"/>
              </w:rPr>
              <w:t>m</w:t>
            </w:r>
            <w:r>
              <w:rPr>
                <w:rFonts w:hint="default" w:ascii="Times New Roman" w:hAnsi="Times New Roman" w:eastAsia="宋体" w:cs="Times New Roman"/>
                <w:kern w:val="24"/>
                <w:sz w:val="24"/>
                <w:szCs w:val="22"/>
                <w:vertAlign w:val="superscript"/>
                <w:lang w:val="en-US" w:eastAsia="zh-CN" w:bidi="ar-SA"/>
              </w:rPr>
              <w:t>3</w:t>
            </w:r>
            <w:r>
              <w:rPr>
                <w:rFonts w:hint="default" w:ascii="Times New Roman" w:hAnsi="Times New Roman" w:eastAsia="宋体" w:cs="Times New Roman"/>
                <w:kern w:val="24"/>
                <w:sz w:val="24"/>
                <w:szCs w:val="22"/>
                <w:lang w:val="en-US" w:eastAsia="zh-CN" w:bidi="ar-SA"/>
              </w:rPr>
              <w:t>/a）。随着冷却水的循环使用，循环水中的Ca、Mg 离子浓度不断升高，因此会有高盐废水产生，需要定期排污。</w:t>
            </w:r>
            <w:r>
              <w:rPr>
                <w:rFonts w:hint="eastAsia" w:ascii="Times New Roman" w:hAnsi="Times New Roman" w:eastAsia="宋体" w:cs="Times New Roman"/>
                <w:kern w:val="24"/>
                <w:sz w:val="24"/>
                <w:szCs w:val="22"/>
                <w:lang w:val="en-US" w:eastAsia="zh-CN" w:bidi="ar-SA"/>
              </w:rPr>
              <w:t>经查阅《工业循环冷却水处理设计规范》（GB50050-2007）及其说明等相关资料</w:t>
            </w:r>
            <w:r>
              <w:rPr>
                <w:rFonts w:hint="default" w:ascii="Times New Roman" w:hAnsi="Times New Roman" w:eastAsia="宋体" w:cs="Times New Roman"/>
                <w:kern w:val="24"/>
                <w:sz w:val="24"/>
                <w:szCs w:val="22"/>
                <w:lang w:val="en-US" w:eastAsia="zh-CN" w:bidi="ar-SA"/>
              </w:rPr>
              <w:t>，排污水占循环水量的0.2%，则循环冷却水池产污量为</w:t>
            </w:r>
            <w:r>
              <w:rPr>
                <w:rFonts w:hint="eastAsia" w:ascii="Times New Roman" w:hAnsi="Times New Roman" w:eastAsia="宋体" w:cs="Times New Roman"/>
                <w:kern w:val="24"/>
                <w:sz w:val="24"/>
                <w:szCs w:val="22"/>
                <w:lang w:val="en-US" w:eastAsia="zh-CN" w:bidi="ar-SA"/>
              </w:rPr>
              <w:t>1.44</w:t>
            </w:r>
            <w:r>
              <w:rPr>
                <w:rFonts w:hint="default" w:ascii="Times New Roman" w:hAnsi="Times New Roman" w:eastAsia="宋体" w:cs="Times New Roman"/>
                <w:kern w:val="24"/>
                <w:sz w:val="24"/>
                <w:szCs w:val="22"/>
                <w:lang w:val="en-US" w:eastAsia="zh-CN" w:bidi="ar-SA"/>
              </w:rPr>
              <w:t>t/d（</w:t>
            </w:r>
            <w:r>
              <w:rPr>
                <w:rFonts w:hint="eastAsia" w:ascii="Times New Roman" w:hAnsi="Times New Roman" w:eastAsia="宋体" w:cs="Times New Roman"/>
                <w:kern w:val="24"/>
                <w:sz w:val="24"/>
                <w:szCs w:val="22"/>
                <w:lang w:val="en-US" w:eastAsia="zh-CN" w:bidi="ar-SA"/>
              </w:rPr>
              <w:t>36</w:t>
            </w:r>
            <w:r>
              <w:rPr>
                <w:rFonts w:hint="default" w:ascii="Times New Roman" w:hAnsi="Times New Roman" w:eastAsia="宋体" w:cs="Times New Roman"/>
                <w:kern w:val="24"/>
                <w:sz w:val="24"/>
                <w:szCs w:val="22"/>
                <w:lang w:val="en-US" w:eastAsia="zh-CN" w:bidi="ar-SA"/>
              </w:rPr>
              <w:t>0t/a）。定期回用于砂处理工序洒水抑尘、厂区抑尘，不外排。</w:t>
            </w:r>
          </w:p>
          <w:p w14:paraId="5B7863EE">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eastAsia="宋体" w:cs="Times New Roman"/>
                <w:kern w:val="24"/>
                <w:sz w:val="24"/>
                <w:szCs w:val="22"/>
                <w:lang w:val="en-US" w:eastAsia="zh-CN" w:bidi="ar-SA"/>
              </w:rPr>
            </w:pPr>
            <w:r>
              <w:rPr>
                <w:rFonts w:hint="eastAsia" w:ascii="Times New Roman" w:hAnsi="Times New Roman" w:eastAsia="宋体" w:cs="Times New Roman"/>
                <w:kern w:val="24"/>
                <w:sz w:val="24"/>
                <w:szCs w:val="22"/>
                <w:lang w:val="en-US" w:eastAsia="zh-CN" w:bidi="ar-SA"/>
              </w:rPr>
              <w:t>B、配砂用水</w:t>
            </w:r>
          </w:p>
          <w:p w14:paraId="7B7952CE">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eastAsia="宋体" w:cs="Times New Roman"/>
                <w:kern w:val="24"/>
                <w:sz w:val="24"/>
                <w:szCs w:val="22"/>
                <w:lang w:val="en-US" w:eastAsia="zh-CN" w:bidi="ar-SA"/>
              </w:rPr>
            </w:pPr>
            <w:r>
              <w:rPr>
                <w:rFonts w:hint="eastAsia" w:ascii="Times New Roman" w:hAnsi="Times New Roman" w:eastAsia="宋体" w:cs="Times New Roman"/>
                <w:kern w:val="24"/>
                <w:sz w:val="24"/>
                <w:szCs w:val="22"/>
                <w:lang w:val="en-US" w:eastAsia="zh-CN" w:bidi="ar-SA"/>
              </w:rPr>
              <w:t>根据企业提供资料，配砂过程用水为自来水，用量为0.12t/d（30t/a），最终全部损耗，不外排。</w:t>
            </w:r>
          </w:p>
          <w:p w14:paraId="0FAB97C1">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eastAsia" w:ascii="Times New Roman" w:hAnsi="Times New Roman" w:eastAsia="宋体" w:cs="Times New Roman"/>
                <w:kern w:val="24"/>
                <w:sz w:val="24"/>
                <w:szCs w:val="22"/>
                <w:lang w:val="en-US" w:eastAsia="zh-CN" w:bidi="ar-SA"/>
              </w:rPr>
            </w:pPr>
            <w:r>
              <w:rPr>
                <w:rFonts w:hint="eastAsia" w:ascii="Times New Roman" w:hAnsi="Times New Roman" w:eastAsia="宋体" w:cs="Times New Roman"/>
                <w:kern w:val="24"/>
                <w:sz w:val="24"/>
                <w:szCs w:val="22"/>
                <w:lang w:val="en-US" w:eastAsia="zh-CN" w:bidi="ar-SA"/>
              </w:rPr>
              <w:t>②生活废水</w:t>
            </w:r>
          </w:p>
          <w:p w14:paraId="735E35AB">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eastAsia="宋体" w:cs="Times New Roman"/>
                <w:kern w:val="24"/>
                <w:sz w:val="24"/>
                <w:szCs w:val="22"/>
                <w:lang w:val="en-US" w:eastAsia="zh-CN" w:bidi="ar-SA"/>
              </w:rPr>
            </w:pPr>
            <w:r>
              <w:rPr>
                <w:rFonts w:hint="default" w:ascii="Times New Roman" w:hAnsi="Times New Roman" w:eastAsia="宋体" w:cs="Times New Roman"/>
                <w:kern w:val="24"/>
                <w:sz w:val="24"/>
                <w:szCs w:val="22"/>
                <w:lang w:val="en-US" w:eastAsia="zh-CN" w:bidi="ar-SA"/>
              </w:rPr>
              <w:t>本项目劳动定员30人，均不在厂区食宿，年工作</w:t>
            </w:r>
            <w:r>
              <w:rPr>
                <w:rFonts w:hint="eastAsia" w:ascii="Times New Roman" w:hAnsi="Times New Roman" w:eastAsia="宋体" w:cs="Times New Roman"/>
                <w:kern w:val="24"/>
                <w:sz w:val="24"/>
                <w:szCs w:val="22"/>
                <w:lang w:val="en-US" w:eastAsia="zh-CN" w:bidi="ar-SA"/>
              </w:rPr>
              <w:t>2</w:t>
            </w:r>
            <w:r>
              <w:rPr>
                <w:rFonts w:hint="default" w:ascii="Times New Roman" w:hAnsi="Times New Roman" w:eastAsia="宋体" w:cs="Times New Roman"/>
                <w:kern w:val="24"/>
                <w:sz w:val="24"/>
                <w:szCs w:val="22"/>
                <w:lang w:val="en-US" w:eastAsia="zh-CN" w:bidi="ar-SA"/>
              </w:rPr>
              <w:t>50天，项目营运期员工不在厂区就餐</w:t>
            </w:r>
            <w:r>
              <w:rPr>
                <w:rFonts w:hint="eastAsia" w:ascii="Times New Roman" w:hAnsi="Times New Roman" w:eastAsia="宋体" w:cs="Times New Roman"/>
                <w:kern w:val="24"/>
                <w:sz w:val="24"/>
                <w:szCs w:val="22"/>
                <w:lang w:val="en-US" w:eastAsia="zh-CN" w:bidi="ar-SA"/>
              </w:rPr>
              <w:t>，</w:t>
            </w:r>
            <w:r>
              <w:rPr>
                <w:rFonts w:hint="default" w:ascii="Times New Roman" w:hAnsi="Times New Roman" w:eastAsia="宋体" w:cs="Times New Roman"/>
                <w:kern w:val="24"/>
                <w:sz w:val="24"/>
                <w:szCs w:val="22"/>
                <w:lang w:val="en-US" w:eastAsia="zh-CN" w:bidi="ar-SA"/>
              </w:rPr>
              <w:t>营运期职工办公生活用水量为1.2m</w:t>
            </w:r>
            <w:r>
              <w:rPr>
                <w:rFonts w:hint="default" w:ascii="Times New Roman" w:hAnsi="Times New Roman" w:eastAsia="宋体" w:cs="Times New Roman"/>
                <w:kern w:val="24"/>
                <w:sz w:val="24"/>
                <w:szCs w:val="22"/>
                <w:vertAlign w:val="superscript"/>
                <w:lang w:val="en-US" w:eastAsia="zh-CN" w:bidi="ar-SA"/>
              </w:rPr>
              <w:t>3</w:t>
            </w:r>
            <w:r>
              <w:rPr>
                <w:rFonts w:hint="default" w:ascii="Times New Roman" w:hAnsi="Times New Roman" w:eastAsia="宋体" w:cs="Times New Roman"/>
                <w:kern w:val="24"/>
                <w:sz w:val="24"/>
                <w:szCs w:val="22"/>
                <w:lang w:val="en-US" w:eastAsia="zh-CN" w:bidi="ar-SA"/>
              </w:rPr>
              <w:t>/d（300m</w:t>
            </w:r>
            <w:r>
              <w:rPr>
                <w:rFonts w:hint="default" w:ascii="Times New Roman" w:hAnsi="Times New Roman" w:eastAsia="宋体" w:cs="Times New Roman"/>
                <w:kern w:val="24"/>
                <w:sz w:val="24"/>
                <w:szCs w:val="22"/>
                <w:vertAlign w:val="superscript"/>
                <w:lang w:val="en-US" w:eastAsia="zh-CN" w:bidi="ar-SA"/>
              </w:rPr>
              <w:t>3</w:t>
            </w:r>
            <w:r>
              <w:rPr>
                <w:rFonts w:hint="default" w:ascii="Times New Roman" w:hAnsi="Times New Roman" w:eastAsia="宋体" w:cs="Times New Roman"/>
                <w:kern w:val="24"/>
                <w:sz w:val="24"/>
                <w:szCs w:val="22"/>
                <w:lang w:val="en-US" w:eastAsia="zh-CN" w:bidi="ar-SA"/>
              </w:rPr>
              <w:t>/a），产污系数取80%，即生活污水产生量为0.96m</w:t>
            </w:r>
            <w:r>
              <w:rPr>
                <w:rFonts w:hint="default" w:ascii="Times New Roman" w:hAnsi="Times New Roman" w:eastAsia="宋体" w:cs="Times New Roman"/>
                <w:kern w:val="24"/>
                <w:sz w:val="24"/>
                <w:szCs w:val="22"/>
                <w:vertAlign w:val="superscript"/>
                <w:lang w:val="en-US" w:eastAsia="zh-CN" w:bidi="ar-SA"/>
              </w:rPr>
              <w:t>3</w:t>
            </w:r>
            <w:r>
              <w:rPr>
                <w:rFonts w:hint="default" w:ascii="Times New Roman" w:hAnsi="Times New Roman" w:eastAsia="宋体" w:cs="Times New Roman"/>
                <w:kern w:val="24"/>
                <w:sz w:val="24"/>
                <w:szCs w:val="22"/>
                <w:lang w:val="en-US" w:eastAsia="zh-CN" w:bidi="ar-SA"/>
              </w:rPr>
              <w:t>/d（240m</w:t>
            </w:r>
            <w:r>
              <w:rPr>
                <w:rFonts w:hint="default" w:ascii="Times New Roman" w:hAnsi="Times New Roman" w:eastAsia="宋体" w:cs="Times New Roman"/>
                <w:kern w:val="24"/>
                <w:sz w:val="24"/>
                <w:szCs w:val="22"/>
                <w:vertAlign w:val="superscript"/>
                <w:lang w:val="en-US" w:eastAsia="zh-CN" w:bidi="ar-SA"/>
              </w:rPr>
              <w:t>3</w:t>
            </w:r>
            <w:r>
              <w:rPr>
                <w:rFonts w:hint="default" w:ascii="Times New Roman" w:hAnsi="Times New Roman" w:eastAsia="宋体" w:cs="Times New Roman"/>
                <w:kern w:val="24"/>
                <w:sz w:val="24"/>
                <w:szCs w:val="22"/>
                <w:lang w:val="en-US" w:eastAsia="zh-CN" w:bidi="ar-SA"/>
              </w:rPr>
              <w:t>/a）。项目生活污水</w:t>
            </w:r>
            <w:r>
              <w:rPr>
                <w:rFonts w:hint="eastAsia" w:ascii="Times New Roman" w:hAnsi="Times New Roman" w:eastAsia="宋体" w:cs="Times New Roman"/>
                <w:kern w:val="24"/>
                <w:sz w:val="24"/>
                <w:szCs w:val="22"/>
                <w:lang w:val="en-US" w:eastAsia="zh-CN" w:bidi="ar-SA"/>
              </w:rPr>
              <w:t>经厂区</w:t>
            </w:r>
            <w:r>
              <w:rPr>
                <w:rFonts w:hint="default" w:ascii="Times New Roman" w:hAnsi="Times New Roman" w:eastAsia="宋体" w:cs="Times New Roman"/>
                <w:kern w:val="24"/>
                <w:sz w:val="24"/>
                <w:szCs w:val="22"/>
                <w:lang w:val="en-US" w:eastAsia="zh-CN" w:bidi="ar-SA"/>
              </w:rPr>
              <w:t>化粪池处理后，通过污水管网进入长垣市第二污水处理厂。</w:t>
            </w:r>
          </w:p>
          <w:p w14:paraId="4646C6ED">
            <w:pPr>
              <w:keepNext w:val="0"/>
              <w:keepLines w:val="0"/>
              <w:pageBreakBefore w:val="0"/>
              <w:widowControl/>
              <w:tabs>
                <w:tab w:val="left" w:pos="7920"/>
              </w:tabs>
              <w:kinsoku/>
              <w:wordWrap/>
              <w:overflowPunct/>
              <w:topLinePunct w:val="0"/>
              <w:autoSpaceDE/>
              <w:autoSpaceDN/>
              <w:bidi w:val="0"/>
              <w:adjustRightInd w:val="0"/>
              <w:snapToGrid w:val="0"/>
              <w:spacing w:after="0" w:line="520" w:lineRule="exact"/>
              <w:ind w:firstLine="470" w:firstLineChars="196"/>
              <w:textAlignment w:val="auto"/>
              <w:rPr>
                <w:rFonts w:hint="default" w:ascii="Times New Roman" w:hAnsi="Times New Roman" w:eastAsia="宋体" w:cs="Times New Roman"/>
                <w:kern w:val="24"/>
                <w:sz w:val="24"/>
                <w:szCs w:val="22"/>
                <w:lang w:val="en-US" w:eastAsia="zh-CN" w:bidi="ar-SA"/>
              </w:rPr>
            </w:pPr>
            <w:r>
              <w:rPr>
                <w:rFonts w:hint="default" w:ascii="Times New Roman" w:hAnsi="Times New Roman" w:eastAsia="宋体" w:cs="Times New Roman"/>
                <w:kern w:val="24"/>
                <w:sz w:val="24"/>
                <w:szCs w:val="22"/>
                <w:lang w:val="en-US" w:eastAsia="zh-CN" w:bidi="ar-SA"/>
              </w:rPr>
              <w:t>本项目水平衡图如下：</w:t>
            </w:r>
          </w:p>
          <w:p w14:paraId="5944E613">
            <w:pPr>
              <w:tabs>
                <w:tab w:val="left" w:pos="7920"/>
              </w:tabs>
              <w:spacing w:line="520" w:lineRule="exact"/>
              <w:rPr>
                <w:rFonts w:hint="eastAsia" w:ascii="Times New Roman" w:hAnsi="Times New Roman" w:eastAsia="宋体" w:cs="Times New Roman"/>
                <w:bCs/>
                <w:sz w:val="24"/>
                <w:szCs w:val="24"/>
                <w:lang w:eastAsia="zh-CN"/>
              </w:rPr>
            </w:pPr>
          </w:p>
          <w:p w14:paraId="11339B62">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p>
          <w:p w14:paraId="4DA4721D">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p>
          <w:p w14:paraId="2B116395">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color w:val="auto"/>
              </w:rPr>
              <w:drawing>
                <wp:anchor distT="0" distB="0" distL="114300" distR="114300" simplePos="0" relativeHeight="251666432" behindDoc="0" locked="0" layoutInCell="1" allowOverlap="1">
                  <wp:simplePos x="0" y="0"/>
                  <wp:positionH relativeFrom="column">
                    <wp:posOffset>974725</wp:posOffset>
                  </wp:positionH>
                  <wp:positionV relativeFrom="paragraph">
                    <wp:posOffset>74930</wp:posOffset>
                  </wp:positionV>
                  <wp:extent cx="3825240" cy="2518410"/>
                  <wp:effectExtent l="0" t="0" r="3810" b="15240"/>
                  <wp:wrapNone/>
                  <wp:docPr id="14"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5"/>
                          <pic:cNvPicPr>
                            <a:picLocks noChangeAspect="1"/>
                          </pic:cNvPicPr>
                        </pic:nvPicPr>
                        <pic:blipFill>
                          <a:blip r:embed="rId7"/>
                          <a:stretch>
                            <a:fillRect/>
                          </a:stretch>
                        </pic:blipFill>
                        <pic:spPr>
                          <a:xfrm>
                            <a:off x="0" y="0"/>
                            <a:ext cx="3825240" cy="2518410"/>
                          </a:xfrm>
                          <a:prstGeom prst="rect">
                            <a:avLst/>
                          </a:prstGeom>
                          <a:noFill/>
                          <a:ln>
                            <a:noFill/>
                          </a:ln>
                        </pic:spPr>
                      </pic:pic>
                    </a:graphicData>
                  </a:graphic>
                </wp:anchor>
              </w:drawing>
            </w:r>
          </w:p>
          <w:p w14:paraId="1DF259AC">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p>
          <w:p w14:paraId="044DA5D6">
            <w:pPr>
              <w:pStyle w:val="9"/>
              <w:snapToGrid w:val="0"/>
              <w:spacing w:after="0" w:line="520" w:lineRule="exact"/>
              <w:ind w:left="0" w:leftChars="0"/>
              <w:jc w:val="center"/>
              <w:rPr>
                <w:rFonts w:hint="default" w:ascii="Times New Roman" w:hAnsi="Times New Roman" w:eastAsia="宋体" w:cs="Times New Roman"/>
                <w:b/>
                <w:bCs/>
                <w:sz w:val="24"/>
                <w:szCs w:val="24"/>
              </w:rPr>
            </w:pPr>
          </w:p>
          <w:p w14:paraId="2FCEFAEB">
            <w:pPr>
              <w:pStyle w:val="9"/>
              <w:snapToGrid w:val="0"/>
              <w:spacing w:after="0" w:line="520" w:lineRule="exact"/>
              <w:ind w:left="0" w:leftChars="0"/>
              <w:jc w:val="center"/>
              <w:rPr>
                <w:rFonts w:hint="default" w:ascii="Times New Roman" w:hAnsi="Times New Roman" w:eastAsia="宋体" w:cs="Times New Roman"/>
                <w:b/>
                <w:bCs/>
                <w:sz w:val="24"/>
                <w:szCs w:val="24"/>
              </w:rPr>
            </w:pPr>
          </w:p>
          <w:p w14:paraId="36A3BE75">
            <w:pPr>
              <w:pStyle w:val="9"/>
              <w:snapToGrid w:val="0"/>
              <w:spacing w:after="0" w:line="520" w:lineRule="exact"/>
              <w:ind w:left="0" w:leftChars="0"/>
              <w:jc w:val="center"/>
              <w:rPr>
                <w:rFonts w:hint="default" w:ascii="Times New Roman" w:hAnsi="Times New Roman" w:eastAsia="宋体" w:cs="Times New Roman"/>
                <w:b/>
                <w:bCs/>
                <w:sz w:val="24"/>
                <w:szCs w:val="24"/>
              </w:rPr>
            </w:pPr>
          </w:p>
          <w:p w14:paraId="3968EF93">
            <w:pPr>
              <w:pStyle w:val="9"/>
              <w:snapToGrid w:val="0"/>
              <w:spacing w:after="0" w:line="520" w:lineRule="exact"/>
              <w:ind w:left="0" w:leftChars="0"/>
              <w:jc w:val="center"/>
              <w:rPr>
                <w:rFonts w:hint="default" w:ascii="Times New Roman" w:hAnsi="Times New Roman" w:eastAsia="宋体" w:cs="Times New Roman"/>
                <w:b/>
                <w:bCs/>
                <w:sz w:val="24"/>
                <w:szCs w:val="24"/>
              </w:rPr>
            </w:pPr>
          </w:p>
          <w:p w14:paraId="1AB62C30">
            <w:pPr>
              <w:pStyle w:val="9"/>
              <w:snapToGrid w:val="0"/>
              <w:spacing w:after="0" w:line="520" w:lineRule="exact"/>
              <w:ind w:left="0" w:leftChars="0"/>
              <w:jc w:val="center"/>
              <w:rPr>
                <w:rFonts w:hint="default" w:ascii="Times New Roman" w:hAnsi="Times New Roman" w:eastAsia="宋体" w:cs="Times New Roman"/>
                <w:b/>
                <w:bCs/>
                <w:sz w:val="24"/>
                <w:szCs w:val="24"/>
              </w:rPr>
            </w:pPr>
          </w:p>
          <w:p w14:paraId="7A9F6FD9">
            <w:pPr>
              <w:pStyle w:val="9"/>
              <w:snapToGrid w:val="0"/>
              <w:spacing w:after="0" w:line="520" w:lineRule="exact"/>
              <w:ind w:left="0" w:leftChars="0"/>
              <w:jc w:val="center"/>
              <w:rPr>
                <w:rFonts w:hint="default" w:ascii="Times New Roman" w:hAnsi="Times New Roman" w:eastAsia="宋体" w:cs="Times New Roman"/>
                <w:b/>
                <w:bCs/>
                <w:sz w:val="24"/>
                <w:szCs w:val="24"/>
              </w:rPr>
            </w:pPr>
          </w:p>
          <w:p w14:paraId="6C29B25C">
            <w:pPr>
              <w:pStyle w:val="9"/>
              <w:snapToGrid w:val="0"/>
              <w:spacing w:after="0" w:line="520" w:lineRule="exact"/>
              <w:ind w:left="0" w:leftChars="0"/>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图1  本项目用水平衡图（</w:t>
            </w:r>
            <w:r>
              <w:rPr>
                <w:rFonts w:hint="default" w:ascii="Times New Roman" w:hAnsi="Times New Roman" w:eastAsia="宋体" w:cs="Times New Roman"/>
                <w:b/>
                <w:sz w:val="24"/>
                <w:szCs w:val="24"/>
              </w:rPr>
              <w:t>m</w:t>
            </w:r>
            <w:r>
              <w:rPr>
                <w:rFonts w:hint="default" w:ascii="Times New Roman" w:hAnsi="Times New Roman" w:eastAsia="宋体" w:cs="Times New Roman"/>
                <w:b/>
                <w:sz w:val="24"/>
                <w:szCs w:val="24"/>
                <w:vertAlign w:val="superscript"/>
              </w:rPr>
              <w:t>3</w:t>
            </w:r>
            <w:r>
              <w:rPr>
                <w:rFonts w:hint="default" w:ascii="Times New Roman" w:hAnsi="Times New Roman" w:eastAsia="宋体" w:cs="Times New Roman"/>
                <w:b/>
                <w:bCs/>
                <w:sz w:val="24"/>
                <w:szCs w:val="24"/>
              </w:rPr>
              <w:t>/d）</w:t>
            </w:r>
          </w:p>
          <w:p w14:paraId="40C790A6">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eastAsia"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主要工艺流程及产物环节</w:t>
            </w:r>
            <w:r>
              <w:rPr>
                <w:rFonts w:hint="eastAsia" w:cs="Times New Roman"/>
                <w:b/>
                <w:bCs/>
                <w:color w:val="000000" w:themeColor="text1"/>
                <w:sz w:val="24"/>
                <w:szCs w:val="24"/>
                <w:lang w:val="en-US" w:eastAsia="zh-CN" w:bidi="ar-SA"/>
                <w14:textFill>
                  <w14:solidFill>
                    <w14:schemeClr w14:val="tx1"/>
                  </w14:solidFill>
                </w14:textFill>
              </w:rPr>
              <w:t>：</w:t>
            </w:r>
          </w:p>
          <w:p w14:paraId="62EC6A6C">
            <w:pPr>
              <w:pStyle w:val="10"/>
              <w:keepNext w:val="0"/>
              <w:keepLines w:val="0"/>
              <w:pageBreakBefore w:val="0"/>
              <w:widowControl w:val="0"/>
              <w:numPr>
                <w:ilvl w:val="0"/>
                <w:numId w:val="0"/>
              </w:numPr>
              <w:kinsoku/>
              <w:wordWrap/>
              <w:overflowPunct/>
              <w:topLinePunct w:val="0"/>
              <w:autoSpaceDE/>
              <w:autoSpaceDN/>
              <w:bidi w:val="0"/>
              <w:adjustRightInd/>
              <w:snapToGrid/>
              <w:spacing w:after="0" w:line="540" w:lineRule="exact"/>
              <w:ind w:left="0" w:leftChars="0" w:right="0" w:rightChars="0" w:firstLine="480" w:firstLineChars="200"/>
              <w:textAlignment w:val="auto"/>
              <w:rPr>
                <w:rFonts w:hint="default" w:ascii="Times New Roman" w:hAnsi="Times New Roman" w:eastAsia="宋体" w:cs="Times New Roman"/>
                <w:kern w:val="24"/>
                <w:sz w:val="24"/>
                <w:szCs w:val="22"/>
                <w:lang w:val="en-US" w:eastAsia="zh-CN" w:bidi="ar-SA"/>
              </w:rPr>
            </w:pPr>
            <w:r>
              <w:rPr>
                <w:rFonts w:hint="default" w:ascii="Times New Roman" w:hAnsi="Times New Roman" w:eastAsia="宋体" w:cs="Times New Roman"/>
                <w:kern w:val="24"/>
                <w:sz w:val="24"/>
                <w:szCs w:val="22"/>
                <w:lang w:val="en-US" w:eastAsia="zh-CN" w:bidi="ar-SA"/>
              </w:rPr>
              <mc:AlternateContent>
                <mc:Choice Requires="wps">
                  <w:drawing>
                    <wp:anchor distT="0" distB="0" distL="114300" distR="114300" simplePos="0" relativeHeight="251665408" behindDoc="0" locked="0" layoutInCell="1" allowOverlap="1">
                      <wp:simplePos x="0" y="0"/>
                      <wp:positionH relativeFrom="column">
                        <wp:posOffset>2875915</wp:posOffset>
                      </wp:positionH>
                      <wp:positionV relativeFrom="paragraph">
                        <wp:posOffset>680085</wp:posOffset>
                      </wp:positionV>
                      <wp:extent cx="805815" cy="377190"/>
                      <wp:effectExtent l="141605" t="6350" r="24130" b="168910"/>
                      <wp:wrapNone/>
                      <wp:docPr id="3" name="圆角矩形标注 3"/>
                      <wp:cNvGraphicFramePr/>
                      <a:graphic xmlns:a="http://schemas.openxmlformats.org/drawingml/2006/main">
                        <a:graphicData uri="http://schemas.microsoft.com/office/word/2010/wordprocessingShape">
                          <wps:wsp>
                            <wps:cNvSpPr/>
                            <wps:spPr>
                              <a:xfrm>
                                <a:off x="0" y="0"/>
                                <a:ext cx="805815" cy="377190"/>
                              </a:xfrm>
                              <a:prstGeom prst="wedgeRoundRectCallout">
                                <a:avLst>
                                  <a:gd name="adj1" fmla="val -61741"/>
                                  <a:gd name="adj2" fmla="val 84423"/>
                                  <a:gd name="adj3" fmla="val 16667"/>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26EAC50C">
                                  <w:pPr>
                                    <w:jc w:val="center"/>
                                    <w:rPr>
                                      <w:rFonts w:hint="eastAsia" w:ascii="宋体" w:hAnsi="宋体" w:eastAsia="宋体" w:cs="宋体"/>
                                      <w:color w:val="000000" w:themeColor="text1"/>
                                      <w:highlight w:val="none"/>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color w:val="000000" w:themeColor="text1"/>
                                      <w:highlight w:val="none"/>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二期建设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26.45pt;margin-top:53.55pt;height:29.7pt;width:63.45pt;z-index:251665408;v-text-anchor:middle;mso-width-relative:page;mso-height-relative:page;" filled="f" stroked="t" coordsize="21600,21600" o:gfxdata="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wNVTjNsAAAAL&#10;AQAADwAAAAAAAAABACAAAAAiAAAAZHJzL2Rvd25yZXYueG1sUEsBAhQAFAAAAAgAh07iQJB4XlLE&#10;AgAAaAUAAA4AAAAAAAAAAQAgAAAAKgEAAGRycy9lMm9Eb2MueG1sUEsFBgAAAAAGAAYAWQEAAGAG&#10;AAAAAA==&#10;" adj="-2536,29035,14400">
                      <v:fill on="f" focussize="0,0"/>
                      <v:stroke weight="1pt" color="#FF0000 [2404]" miterlimit="8" joinstyle="miter"/>
                      <v:imagedata o:title=""/>
                      <o:lock v:ext="edit" aspectratio="f"/>
                      <v:textbox>
                        <w:txbxContent>
                          <w:p w14:paraId="26EAC50C">
                            <w:pPr>
                              <w:jc w:val="center"/>
                              <w:rPr>
                                <w:rFonts w:hint="eastAsia" w:ascii="宋体" w:hAnsi="宋体" w:eastAsia="宋体" w:cs="宋体"/>
                                <w:color w:val="000000" w:themeColor="text1"/>
                                <w:highlight w:val="none"/>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宋体" w:hAnsi="宋体" w:eastAsia="宋体" w:cs="宋体"/>
                                <w:color w:val="000000" w:themeColor="text1"/>
                                <w:highlight w:val="none"/>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二期建设</w:t>
                            </w:r>
                          </w:p>
                        </w:txbxContent>
                      </v:textbox>
                    </v:shape>
                  </w:pict>
                </mc:Fallback>
              </mc:AlternateContent>
            </w:r>
            <w:r>
              <w:rPr>
                <w:rFonts w:hint="default" w:ascii="Times New Roman" w:hAnsi="Times New Roman" w:eastAsia="宋体" w:cs="Times New Roman"/>
                <w:kern w:val="24"/>
                <w:sz w:val="24"/>
                <w:szCs w:val="22"/>
                <w:lang w:val="en-US" w:eastAsia="zh-CN" w:bidi="ar-SA"/>
              </w:rPr>
              <w:t>本项目产品主要为道轨交通配件（齿轮箱、轴承箱、牵引座、拉杆座等），均采粘土湿型砂铸造工艺，工艺流程图如下：</w:t>
            </w:r>
          </w:p>
          <w:p w14:paraId="40F8D036">
            <w:pPr>
              <w:jc w:val="center"/>
              <w:rPr>
                <w:rFonts w:hint="eastAsia" w:eastAsia="微软雅黑"/>
                <w:sz w:val="24"/>
                <w:szCs w:val="24"/>
                <w:lang w:eastAsia="zh-CN"/>
              </w:rPr>
            </w:pPr>
            <w:r>
              <w:rPr>
                <w:rFonts w:hint="default" w:ascii="Times New Roman" w:hAnsi="Times New Roman" w:cs="Times New Roman"/>
                <w:color w:val="auto"/>
              </w:rPr>
              <w:drawing>
                <wp:anchor distT="0" distB="0" distL="114300" distR="114300" simplePos="0" relativeHeight="251663360" behindDoc="0" locked="0" layoutInCell="1" allowOverlap="1">
                  <wp:simplePos x="0" y="0"/>
                  <wp:positionH relativeFrom="column">
                    <wp:posOffset>444500</wp:posOffset>
                  </wp:positionH>
                  <wp:positionV relativeFrom="paragraph">
                    <wp:posOffset>91440</wp:posOffset>
                  </wp:positionV>
                  <wp:extent cx="4947285" cy="1750060"/>
                  <wp:effectExtent l="0" t="0" r="5715" b="254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8"/>
                          <a:stretch>
                            <a:fillRect/>
                          </a:stretch>
                        </pic:blipFill>
                        <pic:spPr>
                          <a:xfrm>
                            <a:off x="0" y="0"/>
                            <a:ext cx="4947285" cy="1750060"/>
                          </a:xfrm>
                          <a:prstGeom prst="rect">
                            <a:avLst/>
                          </a:prstGeom>
                          <a:noFill/>
                          <a:ln>
                            <a:noFill/>
                          </a:ln>
                        </pic:spPr>
                      </pic:pic>
                    </a:graphicData>
                  </a:graphic>
                </wp:anchor>
              </w:drawing>
            </w:r>
          </w:p>
          <w:p w14:paraId="778D19FA">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rPr>
                <w:rFonts w:hint="default" w:ascii="Times New Roman" w:hAnsi="Times New Roman" w:eastAsia="宋体" w:cs="Times New Roman"/>
                <w:b/>
                <w:bCs/>
                <w:color w:val="000000" w:themeColor="text1"/>
                <w:kern w:val="0"/>
                <w:sz w:val="24"/>
                <w:szCs w:val="24"/>
                <w:vertAlign w:val="baseline"/>
                <w:lang w:val="en-US" w:eastAsia="zh-CN" w:bidi="ar-SA"/>
                <w14:textFill>
                  <w14:solidFill>
                    <w14:schemeClr w14:val="tx1"/>
                  </w14:solidFill>
                </w14:textFill>
              </w:rPr>
            </w:pPr>
            <w:r>
              <w:rPr>
                <w:rFonts w:hint="default" w:ascii="Times New Roman" w:hAnsi="Times New Roman" w:cs="Times New Roman"/>
                <w:sz w:val="24"/>
              </w:rPr>
              <mc:AlternateContent>
                <mc:Choice Requires="wps">
                  <w:drawing>
                    <wp:anchor distT="0" distB="0" distL="114300" distR="114300" simplePos="0" relativeHeight="251664384" behindDoc="0" locked="0" layoutInCell="1" allowOverlap="1">
                      <wp:simplePos x="0" y="0"/>
                      <wp:positionH relativeFrom="column">
                        <wp:posOffset>1024890</wp:posOffset>
                      </wp:positionH>
                      <wp:positionV relativeFrom="paragraph">
                        <wp:posOffset>99060</wp:posOffset>
                      </wp:positionV>
                      <wp:extent cx="1753235" cy="366395"/>
                      <wp:effectExtent l="6350" t="6350" r="12065" b="8255"/>
                      <wp:wrapNone/>
                      <wp:docPr id="2" name="矩形 2"/>
                      <wp:cNvGraphicFramePr/>
                      <a:graphic xmlns:a="http://schemas.openxmlformats.org/drawingml/2006/main">
                        <a:graphicData uri="http://schemas.microsoft.com/office/word/2010/wordprocessingShape">
                          <wps:wsp>
                            <wps:cNvSpPr/>
                            <wps:spPr>
                              <a:xfrm>
                                <a:off x="0" y="0"/>
                                <a:ext cx="1753235" cy="366395"/>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0.7pt;margin-top:7.8pt;height:28.85pt;width:138.05pt;z-index:251664384;v-text-anchor:middle;mso-width-relative:page;mso-height-relative:page;" filled="f" stroked="t" coordsize="21600,21600" o:gfxdata="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9nGwPNYAAAAJAQAADwAAAAAAAAABACAAAAAiAAAAZHJzL2Rvd25yZXYueG1s&#10;UEsBAhQAFAAAAAgAh07iQP92/l5sAgAAywQAAA4AAAAAAAAAAQAgAAAAJQEAAGRycy9lMm9Eb2Mu&#10;eG1sUEsFBgAAAAAGAAYAWQEAAAMGAAAAAA==&#10;">
                      <v:fill on="f" focussize="0,0"/>
                      <v:stroke weight="1pt" color="#FF0000 [2404]" miterlimit="8" joinstyle="miter"/>
                      <v:imagedata o:title=""/>
                      <o:lock v:ext="edit" aspectratio="f"/>
                    </v:rect>
                  </w:pict>
                </mc:Fallback>
              </mc:AlternateContent>
            </w:r>
          </w:p>
          <w:p w14:paraId="35D22602">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rPr>
                <w:rFonts w:hint="default" w:ascii="Times New Roman" w:hAnsi="Times New Roman" w:eastAsia="宋体" w:cs="Times New Roman"/>
                <w:b/>
                <w:bCs/>
                <w:color w:val="000000" w:themeColor="text1"/>
                <w:kern w:val="0"/>
                <w:sz w:val="24"/>
                <w:szCs w:val="24"/>
                <w:vertAlign w:val="baseline"/>
                <w:lang w:val="en-US" w:eastAsia="zh-CN" w:bidi="ar-SA"/>
                <w14:textFill>
                  <w14:solidFill>
                    <w14:schemeClr w14:val="tx1"/>
                  </w14:solidFill>
                </w14:textFill>
              </w:rPr>
            </w:pPr>
          </w:p>
          <w:p w14:paraId="0D6709CB">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rPr>
                <w:rFonts w:hint="default" w:ascii="Times New Roman" w:hAnsi="Times New Roman" w:eastAsia="宋体" w:cs="Times New Roman"/>
                <w:b/>
                <w:bCs/>
                <w:color w:val="000000" w:themeColor="text1"/>
                <w:kern w:val="0"/>
                <w:sz w:val="24"/>
                <w:szCs w:val="24"/>
                <w:vertAlign w:val="baseline"/>
                <w:lang w:val="en-US" w:eastAsia="zh-CN" w:bidi="ar-SA"/>
                <w14:textFill>
                  <w14:solidFill>
                    <w14:schemeClr w14:val="tx1"/>
                  </w14:solidFill>
                </w14:textFill>
              </w:rPr>
            </w:pPr>
          </w:p>
          <w:p w14:paraId="202C7E15">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rPr>
                <w:rFonts w:hint="default" w:ascii="Times New Roman" w:hAnsi="Times New Roman" w:eastAsia="宋体" w:cs="Times New Roman"/>
                <w:b/>
                <w:bCs/>
                <w:color w:val="000000" w:themeColor="text1"/>
                <w:kern w:val="0"/>
                <w:sz w:val="24"/>
                <w:szCs w:val="24"/>
                <w:vertAlign w:val="baseline"/>
                <w:lang w:val="en-US" w:eastAsia="zh-CN" w:bidi="ar-SA"/>
                <w14:textFill>
                  <w14:solidFill>
                    <w14:schemeClr w14:val="tx1"/>
                  </w14:solidFill>
                </w14:textFill>
              </w:rPr>
            </w:pPr>
          </w:p>
          <w:p w14:paraId="1E847827">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rPr>
                <w:rFonts w:hint="default" w:ascii="Times New Roman" w:hAnsi="Times New Roman" w:eastAsia="宋体" w:cs="Times New Roman"/>
                <w:b/>
                <w:bCs/>
                <w:color w:val="000000" w:themeColor="text1"/>
                <w:kern w:val="0"/>
                <w:sz w:val="24"/>
                <w:szCs w:val="24"/>
                <w:vertAlign w:val="baseline"/>
                <w:lang w:val="en-US" w:eastAsia="zh-CN" w:bidi="ar-SA"/>
                <w14:textFill>
                  <w14:solidFill>
                    <w14:schemeClr w14:val="tx1"/>
                  </w14:solidFill>
                </w14:textFill>
              </w:rPr>
            </w:pPr>
          </w:p>
          <w:p w14:paraId="68EC0A67">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rPr>
                <w:rFonts w:hint="default" w:ascii="Times New Roman" w:hAnsi="Times New Roman" w:eastAsia="宋体" w:cs="Times New Roman"/>
                <w:b/>
                <w:bCs/>
                <w:color w:val="000000" w:themeColor="text1"/>
                <w:kern w:val="0"/>
                <w:sz w:val="24"/>
                <w:szCs w:val="24"/>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4"/>
                <w:szCs w:val="24"/>
                <w:vertAlign w:val="baseline"/>
                <w:lang w:val="en-US" w:eastAsia="zh-CN" w:bidi="ar-SA"/>
                <w14:textFill>
                  <w14:solidFill>
                    <w14:schemeClr w14:val="tx1"/>
                  </w14:solidFill>
                </w14:textFill>
              </w:rPr>
              <w:t>图</w:t>
            </w:r>
            <w:r>
              <w:rPr>
                <w:rFonts w:hint="eastAsia" w:ascii="Times New Roman" w:hAnsi="Times New Roman" w:eastAsia="宋体" w:cs="Times New Roman"/>
                <w:b/>
                <w:bCs/>
                <w:color w:val="000000" w:themeColor="text1"/>
                <w:kern w:val="0"/>
                <w:sz w:val="24"/>
                <w:szCs w:val="24"/>
                <w:vertAlign w:val="baseline"/>
                <w:lang w:val="en-US" w:eastAsia="zh-CN" w:bidi="ar-SA"/>
                <w14:textFill>
                  <w14:solidFill>
                    <w14:schemeClr w14:val="tx1"/>
                  </w14:solidFill>
                </w14:textFill>
              </w:rPr>
              <w:t>2</w:t>
            </w:r>
            <w:r>
              <w:rPr>
                <w:rFonts w:hint="default" w:ascii="Times New Roman" w:hAnsi="Times New Roman" w:eastAsia="宋体" w:cs="Times New Roman"/>
                <w:b/>
                <w:bCs/>
                <w:color w:val="000000" w:themeColor="text1"/>
                <w:kern w:val="0"/>
                <w:sz w:val="24"/>
                <w:szCs w:val="24"/>
                <w:vertAlign w:val="baseline"/>
                <w:lang w:val="en-US" w:eastAsia="zh-CN" w:bidi="ar-SA"/>
                <w14:textFill>
                  <w14:solidFill>
                    <w14:schemeClr w14:val="tx1"/>
                  </w14:solidFill>
                </w14:textFill>
              </w:rPr>
              <w:t xml:space="preserve"> 生产工艺及产污流程图</w:t>
            </w:r>
          </w:p>
          <w:p w14:paraId="0598D162">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工艺流程简述：</w:t>
            </w:r>
          </w:p>
          <w:p w14:paraId="0886173C">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fldChar w:fldCharType="begin"/>
            </w:r>
            <w:r>
              <w:rPr>
                <w:rFonts w:hint="default" w:ascii="Times New Roman" w:hAnsi="Times New Roman" w:eastAsia="宋体" w:cs="Times New Roman"/>
                <w:color w:val="auto"/>
                <w:sz w:val="24"/>
                <w:szCs w:val="24"/>
                <w:lang w:val="en-US" w:eastAsia="zh-CN"/>
              </w:rPr>
              <w:instrText xml:space="preserve"> = 1 \* GB3 </w:instrText>
            </w:r>
            <w:r>
              <w:rPr>
                <w:rFonts w:hint="default" w:ascii="Times New Roman" w:hAnsi="Times New Roman" w:eastAsia="宋体" w:cs="Times New Roman"/>
                <w:color w:val="auto"/>
                <w:sz w:val="24"/>
                <w:szCs w:val="24"/>
                <w:lang w:val="en-US" w:eastAsia="zh-CN"/>
              </w:rPr>
              <w:fldChar w:fldCharType="separate"/>
            </w:r>
            <w:r>
              <w:rPr>
                <w:rFonts w:hint="eastAsia" w:ascii="Times New Roman" w:hAnsi="Times New Roman" w:eastAsia="宋体" w:cs="Times New Roman"/>
                <w:color w:val="auto"/>
                <w:sz w:val="24"/>
                <w:szCs w:val="24"/>
                <w:lang w:val="en-US" w:eastAsia="zh-CN"/>
              </w:rPr>
              <w:t>①</w:t>
            </w:r>
            <w:r>
              <w:rPr>
                <w:rFonts w:hint="default" w:ascii="Times New Roman" w:hAnsi="Times New Roman" w:eastAsia="宋体" w:cs="Times New Roman"/>
                <w:color w:val="auto"/>
                <w:sz w:val="24"/>
                <w:szCs w:val="24"/>
                <w:lang w:val="en-US" w:eastAsia="zh-CN"/>
              </w:rPr>
              <w:fldChar w:fldCharType="end"/>
            </w:r>
            <w:r>
              <w:rPr>
                <w:rFonts w:hint="default" w:ascii="Times New Roman" w:hAnsi="Times New Roman" w:eastAsia="宋体" w:cs="Times New Roman"/>
                <w:color w:val="auto"/>
                <w:sz w:val="24"/>
                <w:szCs w:val="24"/>
                <w:lang w:val="en-US" w:eastAsia="zh-CN"/>
              </w:rPr>
              <w:t>配砂混砂</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混砂包括型砂和芯砂的混合。本项目型砂</w:t>
            </w:r>
            <w:r>
              <w:rPr>
                <w:rFonts w:hint="eastAsia" w:ascii="Times New Roman" w:hAnsi="Times New Roman" w:eastAsia="宋体" w:cs="Times New Roman"/>
                <w:color w:val="auto"/>
                <w:sz w:val="24"/>
                <w:szCs w:val="24"/>
                <w:lang w:val="en-US" w:eastAsia="zh-CN"/>
              </w:rPr>
              <w:t>和芯砂均</w:t>
            </w:r>
            <w:r>
              <w:rPr>
                <w:rFonts w:hint="default" w:ascii="Times New Roman" w:hAnsi="Times New Roman" w:eastAsia="宋体" w:cs="Times New Roman"/>
                <w:color w:val="auto"/>
                <w:sz w:val="24"/>
                <w:szCs w:val="24"/>
                <w:lang w:val="en-US" w:eastAsia="zh-CN"/>
              </w:rPr>
              <w:t>由</w:t>
            </w:r>
            <w:r>
              <w:rPr>
                <w:rFonts w:hint="eastAsia" w:ascii="Times New Roman" w:hAnsi="Times New Roman" w:eastAsia="宋体" w:cs="Times New Roman"/>
                <w:color w:val="auto"/>
                <w:sz w:val="24"/>
                <w:szCs w:val="24"/>
                <w:lang w:val="en-US" w:eastAsia="zh-CN"/>
              </w:rPr>
              <w:t>粘土</w:t>
            </w:r>
            <w:r>
              <w:rPr>
                <w:rFonts w:hint="default" w:ascii="Times New Roman" w:hAnsi="Times New Roman" w:eastAsia="宋体" w:cs="Times New Roman"/>
                <w:color w:val="auto"/>
                <w:sz w:val="24"/>
                <w:szCs w:val="24"/>
                <w:lang w:val="en-US" w:eastAsia="zh-CN"/>
              </w:rPr>
              <w:t>砂、</w:t>
            </w:r>
            <w:r>
              <w:rPr>
                <w:rFonts w:hint="eastAsia" w:ascii="Times New Roman" w:hAnsi="Times New Roman" w:eastAsia="宋体" w:cs="Times New Roman"/>
                <w:color w:val="auto"/>
                <w:sz w:val="24"/>
                <w:szCs w:val="24"/>
                <w:lang w:val="en-US" w:eastAsia="zh-CN"/>
              </w:rPr>
              <w:t>膨润土、煤粉</w:t>
            </w:r>
            <w:r>
              <w:rPr>
                <w:rFonts w:hint="default" w:ascii="Times New Roman" w:hAnsi="Times New Roman" w:eastAsia="宋体" w:cs="Times New Roman"/>
                <w:color w:val="auto"/>
                <w:sz w:val="24"/>
                <w:szCs w:val="24"/>
                <w:lang w:val="en-US" w:eastAsia="zh-CN"/>
              </w:rPr>
              <w:t>和水等造型材料按一定的比例经过混砂机混合而成</w:t>
            </w:r>
            <w:r>
              <w:rPr>
                <w:rFonts w:hint="eastAsia" w:ascii="Times New Roman" w:hAnsi="Times New Roman" w:eastAsia="宋体" w:cs="Times New Roman"/>
                <w:color w:val="auto"/>
                <w:sz w:val="24"/>
                <w:szCs w:val="24"/>
                <w:lang w:val="en-US" w:eastAsia="zh-CN"/>
              </w:rPr>
              <w:t>，之后分别运至造型区和</w:t>
            </w:r>
            <w:r>
              <w:rPr>
                <w:rFonts w:hint="default" w:ascii="Times New Roman" w:hAnsi="Times New Roman" w:eastAsia="宋体" w:cs="Times New Roman"/>
                <w:color w:val="auto"/>
                <w:sz w:val="24"/>
                <w:szCs w:val="24"/>
                <w:lang w:val="en-US" w:eastAsia="zh-CN"/>
              </w:rPr>
              <w:t>造芯区。混砂机混合过程中密闭进行，在上料过程中有少量混砂粉尘产生。</w:t>
            </w:r>
          </w:p>
          <w:p w14:paraId="3CD393AA">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②</w:t>
            </w:r>
            <w:r>
              <w:rPr>
                <w:rFonts w:hint="default" w:ascii="Times New Roman" w:hAnsi="Times New Roman" w:eastAsia="宋体" w:cs="Times New Roman"/>
                <w:color w:val="auto"/>
                <w:sz w:val="24"/>
                <w:szCs w:val="24"/>
                <w:lang w:val="en-US" w:eastAsia="zh-CN"/>
              </w:rPr>
              <w:t>造型</w:t>
            </w:r>
            <w:r>
              <w:rPr>
                <w:rFonts w:hint="eastAsia" w:ascii="Times New Roman" w:hAnsi="Times New Roman" w:eastAsia="宋体" w:cs="Times New Roman"/>
                <w:color w:val="auto"/>
                <w:sz w:val="24"/>
                <w:szCs w:val="24"/>
                <w:lang w:val="en-US" w:eastAsia="zh-CN"/>
              </w:rPr>
              <w:t>制芯：</w:t>
            </w:r>
            <w:r>
              <w:rPr>
                <w:rFonts w:hint="default" w:ascii="Times New Roman" w:hAnsi="Times New Roman" w:eastAsia="宋体" w:cs="Times New Roman"/>
                <w:color w:val="auto"/>
                <w:sz w:val="24"/>
                <w:szCs w:val="24"/>
                <w:lang w:val="en-US" w:eastAsia="zh-CN"/>
              </w:rPr>
              <w:t>制芯的工艺主要是将混合好的芯砂装入芯盒内制成芯模。造型采用</w:t>
            </w:r>
            <w:r>
              <w:rPr>
                <w:rFonts w:hint="eastAsia" w:ascii="Times New Roman" w:hAnsi="Times New Roman" w:eastAsia="宋体" w:cs="Times New Roman"/>
                <w:color w:val="auto"/>
                <w:sz w:val="24"/>
                <w:szCs w:val="24"/>
                <w:lang w:val="en-US" w:eastAsia="zh-CN"/>
              </w:rPr>
              <w:t>机器</w:t>
            </w:r>
            <w:r>
              <w:rPr>
                <w:rFonts w:hint="default" w:ascii="Times New Roman" w:hAnsi="Times New Roman" w:eastAsia="宋体" w:cs="Times New Roman"/>
                <w:color w:val="auto"/>
                <w:sz w:val="24"/>
                <w:szCs w:val="24"/>
                <w:lang w:val="en-US" w:eastAsia="zh-CN"/>
              </w:rPr>
              <w:t>进行造型，型腔由四面固定的壁和前后两块相对的型板构成，型砂由上面的砂斗射入型腔中。后面的型板（正压板）压实砂型后，前面的型板（反压板）水平移动起模，翻转90°至上方，造好的砂型紧贴着前一个砂型推出。砂型经自然硬化后备用。造型后将上下砂箱合箱，待</w:t>
            </w:r>
            <w:r>
              <w:rPr>
                <w:rFonts w:hint="eastAsia" w:ascii="Times New Roman" w:hAnsi="Times New Roman" w:eastAsia="宋体" w:cs="Times New Roman"/>
                <w:color w:val="auto"/>
                <w:sz w:val="24"/>
                <w:szCs w:val="24"/>
                <w:lang w:val="en-US" w:eastAsia="zh-CN"/>
              </w:rPr>
              <w:t>铁</w:t>
            </w:r>
            <w:r>
              <w:rPr>
                <w:rFonts w:hint="default" w:ascii="Times New Roman" w:hAnsi="Times New Roman" w:eastAsia="宋体" w:cs="Times New Roman"/>
                <w:color w:val="auto"/>
                <w:sz w:val="24"/>
                <w:szCs w:val="24"/>
                <w:lang w:val="en-US" w:eastAsia="zh-CN"/>
              </w:rPr>
              <w:t>水</w:t>
            </w:r>
            <w:r>
              <w:rPr>
                <w:rFonts w:hint="eastAsia" w:ascii="Times New Roman" w:hAnsi="Times New Roman" w:eastAsia="宋体" w:cs="Times New Roman"/>
                <w:color w:val="auto"/>
                <w:sz w:val="24"/>
                <w:szCs w:val="24"/>
                <w:lang w:val="en-US" w:eastAsia="zh-CN"/>
              </w:rPr>
              <w:t>浇注</w:t>
            </w:r>
            <w:r>
              <w:rPr>
                <w:rFonts w:hint="default" w:ascii="Times New Roman" w:hAnsi="Times New Roman" w:eastAsia="宋体" w:cs="Times New Roman"/>
                <w:color w:val="auto"/>
                <w:sz w:val="24"/>
                <w:szCs w:val="24"/>
                <w:lang w:val="en-US" w:eastAsia="zh-CN"/>
              </w:rPr>
              <w:t>。该过程主要产生粉尘和噪声</w:t>
            </w:r>
            <w:r>
              <w:rPr>
                <w:rFonts w:hint="eastAsia" w:ascii="Times New Roman" w:hAnsi="Times New Roman" w:eastAsia="宋体" w:cs="Times New Roman"/>
                <w:color w:val="auto"/>
                <w:sz w:val="24"/>
                <w:szCs w:val="24"/>
                <w:lang w:val="en-US" w:eastAsia="zh-CN"/>
              </w:rPr>
              <w:t>。</w:t>
            </w:r>
          </w:p>
          <w:p w14:paraId="7E4752D0">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fldChar w:fldCharType="begin"/>
            </w:r>
            <w:r>
              <w:rPr>
                <w:rFonts w:hint="default" w:ascii="Times New Roman" w:hAnsi="Times New Roman" w:eastAsia="宋体" w:cs="Times New Roman"/>
                <w:color w:val="auto"/>
                <w:sz w:val="24"/>
                <w:szCs w:val="24"/>
                <w:lang w:val="en-US" w:eastAsia="zh-CN"/>
              </w:rPr>
              <w:instrText xml:space="preserve"> = 3 \* GB3 </w:instrText>
            </w:r>
            <w:r>
              <w:rPr>
                <w:rFonts w:hint="default" w:ascii="Times New Roman" w:hAnsi="Times New Roman" w:eastAsia="宋体" w:cs="Times New Roman"/>
                <w:color w:val="auto"/>
                <w:sz w:val="24"/>
                <w:szCs w:val="24"/>
                <w:lang w:val="en-US" w:eastAsia="zh-CN"/>
              </w:rPr>
              <w:fldChar w:fldCharType="separate"/>
            </w:r>
            <w:r>
              <w:rPr>
                <w:rFonts w:hint="eastAsia" w:ascii="Times New Roman" w:hAnsi="Times New Roman" w:eastAsia="宋体" w:cs="Times New Roman"/>
                <w:color w:val="auto"/>
                <w:sz w:val="24"/>
                <w:szCs w:val="24"/>
                <w:lang w:val="en-US" w:eastAsia="zh-CN"/>
              </w:rPr>
              <w:t>③</w:t>
            </w:r>
            <w:r>
              <w:rPr>
                <w:rFonts w:hint="default" w:ascii="Times New Roman" w:hAnsi="Times New Roman" w:eastAsia="宋体" w:cs="Times New Roman"/>
                <w:color w:val="auto"/>
                <w:sz w:val="24"/>
                <w:szCs w:val="24"/>
                <w:lang w:val="en-US" w:eastAsia="zh-CN"/>
              </w:rPr>
              <w:fldChar w:fldCharType="end"/>
            </w:r>
            <w:r>
              <w:rPr>
                <w:rFonts w:hint="default" w:ascii="Times New Roman" w:hAnsi="Times New Roman" w:eastAsia="宋体" w:cs="Times New Roman"/>
                <w:color w:val="auto"/>
                <w:sz w:val="24"/>
                <w:szCs w:val="24"/>
                <w:lang w:val="en-US" w:eastAsia="zh-CN"/>
              </w:rPr>
              <w:t>配料熔炼</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将钢材</w:t>
            </w:r>
            <w:r>
              <w:rPr>
                <w:rFonts w:hint="eastAsia" w:ascii="Times New Roman" w:hAnsi="Times New Roman" w:eastAsia="宋体" w:cs="Times New Roman"/>
                <w:color w:val="auto"/>
                <w:sz w:val="24"/>
                <w:szCs w:val="24"/>
                <w:lang w:val="en-US" w:eastAsia="zh-CN"/>
              </w:rPr>
              <w:t>边角料</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钢锭、</w:t>
            </w:r>
            <w:r>
              <w:rPr>
                <w:rFonts w:hint="default" w:ascii="Times New Roman" w:hAnsi="Times New Roman" w:eastAsia="宋体" w:cs="Times New Roman"/>
                <w:color w:val="auto"/>
                <w:sz w:val="24"/>
                <w:szCs w:val="24"/>
                <w:lang w:val="en-US" w:eastAsia="zh-CN"/>
              </w:rPr>
              <w:t>硅铁、锰铁</w:t>
            </w:r>
            <w:r>
              <w:rPr>
                <w:rFonts w:hint="eastAsia" w:ascii="Times New Roman" w:hAnsi="Times New Roman" w:eastAsia="宋体" w:cs="Times New Roman"/>
                <w:color w:val="auto"/>
                <w:sz w:val="24"/>
                <w:szCs w:val="24"/>
                <w:lang w:val="en-US" w:eastAsia="zh-CN"/>
              </w:rPr>
              <w:t>、铁屑</w:t>
            </w:r>
            <w:r>
              <w:rPr>
                <w:rFonts w:hint="default" w:ascii="Times New Roman" w:hAnsi="Times New Roman" w:eastAsia="宋体" w:cs="Times New Roman"/>
                <w:color w:val="auto"/>
                <w:sz w:val="24"/>
                <w:szCs w:val="24"/>
                <w:lang w:val="en-US" w:eastAsia="zh-CN"/>
              </w:rPr>
              <w:t>等原料按一定比例加入到</w:t>
            </w:r>
            <w:r>
              <w:rPr>
                <w:rFonts w:hint="eastAsia" w:ascii="Times New Roman" w:hAnsi="Times New Roman" w:eastAsia="宋体" w:cs="Times New Roman"/>
                <w:color w:val="auto"/>
                <w:sz w:val="24"/>
                <w:szCs w:val="24"/>
                <w:lang w:val="en-US" w:eastAsia="zh-CN"/>
              </w:rPr>
              <w:t>钢壳中频磁轭炉</w:t>
            </w:r>
            <w:r>
              <w:rPr>
                <w:rFonts w:hint="default" w:ascii="Times New Roman" w:hAnsi="Times New Roman" w:eastAsia="宋体" w:cs="Times New Roman"/>
                <w:color w:val="auto"/>
                <w:sz w:val="24"/>
                <w:szCs w:val="24"/>
                <w:lang w:val="en-US" w:eastAsia="zh-CN"/>
              </w:rPr>
              <w:t>中，通电加热到1440~1540</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，熔炼50min后出炉。</w:t>
            </w:r>
            <w:r>
              <w:rPr>
                <w:rFonts w:hint="eastAsia" w:ascii="Times New Roman" w:hAnsi="Times New Roman" w:eastAsia="宋体" w:cs="Times New Roman"/>
                <w:color w:val="auto"/>
                <w:sz w:val="24"/>
                <w:szCs w:val="24"/>
                <w:lang w:val="en-US" w:eastAsia="zh-CN"/>
              </w:rPr>
              <w:t>由于外购的原料中含有一定的油污，因此</w:t>
            </w:r>
            <w:r>
              <w:rPr>
                <w:rFonts w:hint="default" w:ascii="Times New Roman" w:hAnsi="Times New Roman" w:eastAsia="宋体" w:cs="Times New Roman"/>
                <w:color w:val="auto"/>
                <w:sz w:val="24"/>
                <w:szCs w:val="24"/>
                <w:lang w:val="en-US" w:eastAsia="zh-CN"/>
              </w:rPr>
              <w:t>熔化过程中</w:t>
            </w:r>
            <w:r>
              <w:rPr>
                <w:rFonts w:hint="eastAsia" w:ascii="Times New Roman" w:hAnsi="Times New Roman" w:eastAsia="宋体" w:cs="Times New Roman"/>
                <w:color w:val="auto"/>
                <w:sz w:val="24"/>
                <w:szCs w:val="24"/>
                <w:lang w:val="en-US" w:eastAsia="zh-CN"/>
              </w:rPr>
              <w:t>会</w:t>
            </w:r>
            <w:r>
              <w:rPr>
                <w:rFonts w:hint="default" w:ascii="Times New Roman" w:hAnsi="Times New Roman" w:eastAsia="宋体" w:cs="Times New Roman"/>
                <w:color w:val="auto"/>
                <w:sz w:val="24"/>
                <w:szCs w:val="24"/>
                <w:lang w:val="en-US" w:eastAsia="zh-CN"/>
              </w:rPr>
              <w:t>产生</w:t>
            </w:r>
            <w:r>
              <w:rPr>
                <w:rFonts w:hint="eastAsia" w:ascii="Times New Roman" w:hAnsi="Times New Roman" w:eastAsia="宋体" w:cs="Times New Roman"/>
                <w:color w:val="auto"/>
                <w:sz w:val="24"/>
                <w:szCs w:val="24"/>
                <w:lang w:val="en-US" w:eastAsia="zh-CN"/>
              </w:rPr>
              <w:t>有机废气和</w:t>
            </w:r>
            <w:r>
              <w:rPr>
                <w:rFonts w:hint="default" w:ascii="Times New Roman" w:hAnsi="Times New Roman" w:eastAsia="宋体" w:cs="Times New Roman"/>
                <w:color w:val="auto"/>
                <w:sz w:val="24"/>
                <w:szCs w:val="24"/>
                <w:lang w:val="en-US" w:eastAsia="zh-CN"/>
              </w:rPr>
              <w:t>烟尘、炉渣等固体废物。</w:t>
            </w:r>
          </w:p>
          <w:p w14:paraId="68EEC0E9">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fldChar w:fldCharType="begin"/>
            </w:r>
            <w:r>
              <w:rPr>
                <w:rFonts w:hint="default" w:ascii="Times New Roman" w:hAnsi="Times New Roman" w:eastAsia="宋体" w:cs="Times New Roman"/>
                <w:color w:val="auto"/>
                <w:sz w:val="24"/>
                <w:szCs w:val="24"/>
                <w:lang w:val="en-US" w:eastAsia="zh-CN"/>
              </w:rPr>
              <w:instrText xml:space="preserve"> = 4 \* GB3 </w:instrText>
            </w:r>
            <w:r>
              <w:rPr>
                <w:rFonts w:hint="default" w:ascii="Times New Roman" w:hAnsi="Times New Roman" w:eastAsia="宋体" w:cs="Times New Roman"/>
                <w:color w:val="auto"/>
                <w:sz w:val="24"/>
                <w:szCs w:val="24"/>
                <w:lang w:val="en-US" w:eastAsia="zh-CN"/>
              </w:rPr>
              <w:fldChar w:fldCharType="separate"/>
            </w:r>
            <w:r>
              <w:rPr>
                <w:rFonts w:hint="eastAsia" w:ascii="Times New Roman" w:hAnsi="Times New Roman" w:eastAsia="宋体" w:cs="Times New Roman"/>
                <w:color w:val="auto"/>
                <w:sz w:val="24"/>
                <w:szCs w:val="24"/>
                <w:lang w:val="en-US" w:eastAsia="zh-CN"/>
              </w:rPr>
              <w:t>④</w:t>
            </w:r>
            <w:r>
              <w:rPr>
                <w:rFonts w:hint="default" w:ascii="Times New Roman" w:hAnsi="Times New Roman" w:eastAsia="宋体" w:cs="Times New Roman"/>
                <w:color w:val="auto"/>
                <w:sz w:val="24"/>
                <w:szCs w:val="24"/>
                <w:lang w:val="en-US" w:eastAsia="zh-CN"/>
              </w:rPr>
              <w:fldChar w:fldCharType="end"/>
            </w:r>
            <w:r>
              <w:rPr>
                <w:rFonts w:hint="default" w:ascii="Times New Roman" w:hAnsi="Times New Roman" w:eastAsia="宋体" w:cs="Times New Roman"/>
                <w:color w:val="auto"/>
                <w:sz w:val="24"/>
                <w:szCs w:val="24"/>
                <w:lang w:val="en-US" w:eastAsia="zh-CN"/>
              </w:rPr>
              <w:t>浇注</w:t>
            </w:r>
            <w:r>
              <w:rPr>
                <w:rFonts w:hint="eastAsia" w:ascii="Times New Roman" w:hAnsi="Times New Roman" w:eastAsia="宋体" w:cs="Times New Roman"/>
                <w:color w:val="auto"/>
                <w:sz w:val="24"/>
                <w:szCs w:val="24"/>
                <w:lang w:val="en-US" w:eastAsia="zh-CN"/>
              </w:rPr>
              <w:t>：用吊车将钢包内的钢水通过浇注口注入</w:t>
            </w:r>
            <w:r>
              <w:rPr>
                <w:rFonts w:hint="default" w:ascii="Times New Roman" w:hAnsi="Times New Roman" w:eastAsia="宋体" w:cs="Times New Roman"/>
                <w:color w:val="auto"/>
                <w:sz w:val="24"/>
                <w:szCs w:val="24"/>
                <w:lang w:val="en-US" w:eastAsia="zh-CN"/>
              </w:rPr>
              <w:t>提前造好的</w:t>
            </w:r>
            <w:r>
              <w:rPr>
                <w:rFonts w:hint="eastAsia" w:ascii="Times New Roman" w:hAnsi="Times New Roman" w:eastAsia="宋体" w:cs="Times New Roman"/>
                <w:color w:val="auto"/>
                <w:sz w:val="24"/>
                <w:szCs w:val="24"/>
                <w:lang w:val="en-US" w:eastAsia="zh-CN"/>
              </w:rPr>
              <w:t>砂</w:t>
            </w:r>
            <w:r>
              <w:rPr>
                <w:rFonts w:hint="default" w:ascii="Times New Roman" w:hAnsi="Times New Roman" w:eastAsia="宋体" w:cs="Times New Roman"/>
                <w:color w:val="auto"/>
                <w:sz w:val="24"/>
                <w:szCs w:val="24"/>
                <w:lang w:val="en-US" w:eastAsia="zh-CN"/>
              </w:rPr>
              <w:t>型腔内，铁水注入模型后逐渐凝固，</w:t>
            </w:r>
            <w:r>
              <w:rPr>
                <w:rFonts w:hint="eastAsia" w:ascii="Times New Roman" w:hAnsi="Times New Roman" w:eastAsia="宋体" w:cs="Times New Roman"/>
                <w:color w:val="auto"/>
                <w:sz w:val="24"/>
                <w:szCs w:val="24"/>
                <w:lang w:val="en-US" w:eastAsia="zh-CN"/>
              </w:rPr>
              <w:t>金属液形成与模具相同形状的铸件。</w:t>
            </w:r>
            <w:r>
              <w:rPr>
                <w:rFonts w:hint="default" w:ascii="Times New Roman" w:hAnsi="Times New Roman" w:eastAsia="宋体" w:cs="Times New Roman"/>
                <w:color w:val="auto"/>
                <w:sz w:val="24"/>
                <w:szCs w:val="24"/>
                <w:lang w:val="en-US" w:eastAsia="zh-CN"/>
              </w:rPr>
              <w:t>该过程主要产生粉尘。</w:t>
            </w:r>
          </w:p>
          <w:p w14:paraId="090C61B1">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⑤除冒口：经企业提供资料，铸铁</w:t>
            </w:r>
            <w:r>
              <w:rPr>
                <w:rFonts w:hint="default" w:ascii="Times New Roman" w:hAnsi="Times New Roman" w:eastAsia="宋体" w:cs="Times New Roman"/>
                <w:color w:val="auto"/>
                <w:sz w:val="24"/>
                <w:szCs w:val="24"/>
                <w:lang w:val="en-US" w:eastAsia="zh-CN"/>
              </w:rPr>
              <w:t>毛坯件需要用手工气割</w:t>
            </w:r>
            <w:r>
              <w:rPr>
                <w:rFonts w:hint="eastAsia" w:ascii="Times New Roman" w:hAnsi="Times New Roman" w:eastAsia="宋体" w:cs="Times New Roman"/>
                <w:color w:val="auto"/>
                <w:sz w:val="24"/>
                <w:szCs w:val="24"/>
                <w:lang w:val="en-US" w:eastAsia="zh-CN"/>
              </w:rPr>
              <w:t>枪</w:t>
            </w:r>
            <w:r>
              <w:rPr>
                <w:rFonts w:hint="default" w:ascii="Times New Roman" w:hAnsi="Times New Roman" w:eastAsia="宋体" w:cs="Times New Roman"/>
                <w:color w:val="auto"/>
                <w:sz w:val="24"/>
                <w:szCs w:val="24"/>
                <w:lang w:val="en-US" w:eastAsia="zh-CN"/>
              </w:rPr>
              <w:t>进行割冒口</w:t>
            </w:r>
            <w:r>
              <w:rPr>
                <w:rFonts w:hint="eastAsia" w:ascii="Times New Roman" w:hAnsi="Times New Roman" w:eastAsia="宋体" w:cs="Times New Roman"/>
                <w:color w:val="auto"/>
                <w:sz w:val="24"/>
                <w:szCs w:val="24"/>
                <w:lang w:val="en-US" w:eastAsia="zh-CN"/>
              </w:rPr>
              <w:t xml:space="preserve">，气割过程会产生烟尘。 </w:t>
            </w:r>
          </w:p>
          <w:p w14:paraId="3C0D0301">
            <w:pPr>
              <w:keepNext w:val="0"/>
              <w:keepLines w:val="0"/>
              <w:pageBreakBefore w:val="0"/>
              <w:widowControl w:val="0"/>
              <w:kinsoku/>
              <w:wordWrap/>
              <w:overflowPunct/>
              <w:topLinePunct w:val="0"/>
              <w:autoSpaceDE/>
              <w:autoSpaceDN/>
              <w:bidi w:val="0"/>
              <w:adjustRightInd/>
              <w:snapToGrid/>
              <w:spacing w:after="0" w:line="520" w:lineRule="exact"/>
              <w:ind w:left="0" w:leftChars="0" w:right="0" w:rightChars="0" w:firstLine="480" w:firstLineChars="200"/>
              <w:jc w:val="left"/>
              <w:textAlignment w:val="auto"/>
              <w:outlineLvl w:val="9"/>
              <w:rPr>
                <w:rFonts w:hint="default"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sz w:val="24"/>
                <w:szCs w:val="24"/>
                <w:lang w:val="en-US" w:eastAsia="zh-CN"/>
              </w:rPr>
              <w:t>⑥</w:t>
            </w:r>
            <w:r>
              <w:rPr>
                <w:rFonts w:hint="eastAsia" w:ascii="Times New Roman" w:hAnsi="Times New Roman" w:eastAsia="宋体" w:cs="Times New Roman"/>
                <w:color w:val="auto"/>
                <w:kern w:val="0"/>
                <w:sz w:val="24"/>
                <w:szCs w:val="24"/>
                <w:lang w:val="en-US" w:eastAsia="zh-CN"/>
              </w:rPr>
              <w:t>回火：</w:t>
            </w:r>
            <w:r>
              <w:rPr>
                <w:rFonts w:hint="default" w:ascii="Times New Roman" w:hAnsi="Times New Roman" w:eastAsia="宋体" w:cs="Times New Roman"/>
                <w:color w:val="auto"/>
                <w:kern w:val="0"/>
                <w:sz w:val="24"/>
                <w:szCs w:val="24"/>
                <w:lang w:val="en-US" w:eastAsia="zh-CN"/>
              </w:rPr>
              <w:t>为减少工件内应力、降低脆性</w:t>
            </w:r>
            <w:r>
              <w:rPr>
                <w:rFonts w:hint="eastAsia" w:ascii="Times New Roman" w:hAnsi="Times New Roman" w:eastAsia="宋体" w:cs="Times New Roman"/>
                <w:color w:val="auto"/>
                <w:kern w:val="0"/>
                <w:sz w:val="24"/>
                <w:szCs w:val="24"/>
                <w:lang w:val="en-US" w:eastAsia="zh-CN"/>
              </w:rPr>
              <w:t>、</w:t>
            </w:r>
            <w:r>
              <w:rPr>
                <w:rFonts w:hint="default" w:ascii="Times New Roman" w:hAnsi="Times New Roman" w:eastAsia="宋体" w:cs="Times New Roman"/>
                <w:color w:val="auto"/>
                <w:kern w:val="0"/>
                <w:sz w:val="24"/>
                <w:szCs w:val="24"/>
                <w:lang w:val="en-US" w:eastAsia="zh-CN"/>
              </w:rPr>
              <w:t>提高韧性</w:t>
            </w:r>
            <w:r>
              <w:rPr>
                <w:rFonts w:hint="eastAsia" w:ascii="Times New Roman" w:hAnsi="Times New Roman" w:eastAsia="宋体" w:cs="Times New Roman"/>
                <w:color w:val="auto"/>
                <w:kern w:val="0"/>
                <w:sz w:val="24"/>
                <w:szCs w:val="24"/>
                <w:lang w:val="en-US" w:eastAsia="zh-CN"/>
              </w:rPr>
              <w:t>，扩孔加工后的工件需在</w:t>
            </w:r>
            <w:r>
              <w:rPr>
                <w:rFonts w:hint="default" w:ascii="Times New Roman" w:hAnsi="Times New Roman" w:eastAsia="宋体" w:cs="Times New Roman"/>
                <w:color w:val="auto"/>
                <w:kern w:val="0"/>
                <w:sz w:val="24"/>
                <w:szCs w:val="24"/>
                <w:lang w:val="en-US" w:eastAsia="zh-CN"/>
              </w:rPr>
              <w:t>电加热</w:t>
            </w:r>
            <w:r>
              <w:rPr>
                <w:rFonts w:hint="eastAsia" w:ascii="Times New Roman" w:hAnsi="Times New Roman" w:eastAsia="宋体" w:cs="Times New Roman"/>
                <w:color w:val="auto"/>
                <w:kern w:val="0"/>
                <w:sz w:val="24"/>
                <w:szCs w:val="24"/>
                <w:lang w:val="en-US" w:eastAsia="zh-CN"/>
              </w:rPr>
              <w:t>的回火调质炉中进行回火处理</w:t>
            </w:r>
            <w:r>
              <w:rPr>
                <w:rFonts w:hint="default" w:ascii="Times New Roman" w:hAnsi="Times New Roman" w:eastAsia="宋体" w:cs="Times New Roman"/>
                <w:color w:val="auto"/>
                <w:kern w:val="0"/>
                <w:sz w:val="24"/>
                <w:szCs w:val="24"/>
                <w:lang w:val="en-US" w:eastAsia="zh-CN"/>
              </w:rPr>
              <w:t>，回火温度约为200℃，回火时间为1h，回火后自然冷却</w:t>
            </w:r>
            <w:r>
              <w:rPr>
                <w:rFonts w:hint="eastAsia" w:ascii="Times New Roman" w:hAnsi="Times New Roman" w:eastAsia="宋体" w:cs="Times New Roman"/>
                <w:color w:val="auto"/>
                <w:kern w:val="0"/>
                <w:sz w:val="24"/>
                <w:szCs w:val="24"/>
                <w:lang w:val="en-US" w:eastAsia="zh-CN"/>
              </w:rPr>
              <w:t>。</w:t>
            </w:r>
          </w:p>
          <w:p w14:paraId="45D83729">
            <w:pPr>
              <w:keepNext w:val="0"/>
              <w:keepLines w:val="0"/>
              <w:pageBreakBefore w:val="0"/>
              <w:widowControl w:val="0"/>
              <w:kinsoku/>
              <w:wordWrap/>
              <w:overflowPunct/>
              <w:topLinePunct w:val="0"/>
              <w:autoSpaceDE/>
              <w:autoSpaceDN/>
              <w:bidi w:val="0"/>
              <w:adjustRightInd/>
              <w:snapToGrid/>
              <w:spacing w:after="0" w:line="520" w:lineRule="exact"/>
              <w:ind w:left="0" w:leftChars="0" w:right="0" w:rightChars="0" w:firstLine="480" w:firstLineChars="200"/>
              <w:jc w:val="left"/>
              <w:textAlignment w:val="auto"/>
              <w:outlineLvl w:val="9"/>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⑦抛丸：回火加工后的铸件表面采用抛丸机进行表面清理，该过程主要产生粉尘和噪声。</w:t>
            </w:r>
          </w:p>
          <w:p w14:paraId="0D2A6147">
            <w:pPr>
              <w:keepNext w:val="0"/>
              <w:keepLines w:val="0"/>
              <w:pageBreakBefore w:val="0"/>
              <w:widowControl w:val="0"/>
              <w:kinsoku/>
              <w:wordWrap/>
              <w:overflowPunct/>
              <w:topLinePunct w:val="0"/>
              <w:autoSpaceDE/>
              <w:autoSpaceDN/>
              <w:bidi w:val="0"/>
              <w:adjustRightInd/>
              <w:snapToGrid/>
              <w:spacing w:after="0" w:line="520" w:lineRule="exact"/>
              <w:ind w:left="0" w:leftChars="0" w:right="0" w:rightChars="0" w:firstLine="480" w:firstLineChars="200"/>
              <w:jc w:val="left"/>
              <w:textAlignment w:val="auto"/>
              <w:outlineLvl w:val="9"/>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⑧加工：抛丸后的铸件半成品运至机加工车间进行进一步精加工。精加工过程为纯机加工工艺，即采用车床通过车刀对工件进行车削加工，使工件外形达到所需尺寸，之后再用钻床在工件设计位置钻出通孔或盲孔，精加工处理后，即为成品。该工艺主要产生噪声和固废。</w:t>
            </w:r>
          </w:p>
          <w:p w14:paraId="35927DAC">
            <w:pPr>
              <w:keepNext w:val="0"/>
              <w:keepLines w:val="0"/>
              <w:pageBreakBefore w:val="0"/>
              <w:widowControl/>
              <w:kinsoku/>
              <w:wordWrap/>
              <w:overflowPunct/>
              <w:topLinePunct w:val="0"/>
              <w:autoSpaceDE/>
              <w:autoSpaceDN/>
              <w:bidi w:val="0"/>
              <w:adjustRightInd/>
              <w:snapToGrid/>
              <w:spacing w:after="0" w:line="520" w:lineRule="exact"/>
              <w:jc w:val="both"/>
              <w:textAlignment w:val="auto"/>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项目变动情况说明</w:t>
            </w:r>
          </w:p>
          <w:p w14:paraId="0D6E7627">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关于印发环评管理中部分行业建设项目重大变动清单的通知》（环境保护部办公厅文件，环办[2015]52号）中指出：根据《环境影响评价法》和《建设项目环境保护管理条例》有关规定，建设项目的性质、规模、地点、生产工艺和环境保护措施五个因素中的一项或一项以上发生重大变动，且可能导致环境影响显著变化（特别是不利环境影响加重）的，界定为重大变动。界定为重大变动的应当重新报批环境影响评价文件，不属于重大变动的纳入竣工环境保护验收管理。</w:t>
            </w:r>
          </w:p>
          <w:p w14:paraId="3E47AFB2">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经现场勘察新乡市科博特起重机械有限公司《年产1.2万吨道轨交通配件项目》本项目分期建设，其中砂处理系统生产线为二期建设内容，其他建设内容均为一期建设，目前厂区旧砂委托长垣县恒祥伟业机械科技有限公司回收处理，处理后回用，旧砂回收协议见附件</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w:t>
            </w:r>
          </w:p>
          <w:p w14:paraId="55398E02">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本项目一期实际建设内容与环评一致，仅环保设备变动，经现场勘察，本项目熔炼与浇注工序</w:t>
            </w:r>
            <w:r>
              <w:rPr>
                <w:rFonts w:hint="eastAsia" w:ascii="Times New Roman" w:hAnsi="Times New Roman" w:eastAsia="宋体" w:cs="Times New Roman"/>
                <w:color w:val="auto"/>
                <w:sz w:val="24"/>
                <w:szCs w:val="24"/>
                <w:lang w:val="en-US" w:eastAsia="zh-CN"/>
              </w:rPr>
              <w:t>相距较近，</w:t>
            </w:r>
            <w:r>
              <w:rPr>
                <w:rFonts w:hint="default" w:ascii="Times New Roman" w:hAnsi="Times New Roman" w:eastAsia="宋体" w:cs="Times New Roman"/>
                <w:color w:val="auto"/>
                <w:sz w:val="24"/>
                <w:szCs w:val="24"/>
                <w:lang w:val="en-US" w:eastAsia="zh-CN"/>
              </w:rPr>
              <w:t>混砂与造型工序</w:t>
            </w:r>
            <w:r>
              <w:rPr>
                <w:rFonts w:hint="eastAsia" w:ascii="Times New Roman" w:hAnsi="Times New Roman" w:eastAsia="宋体" w:cs="Times New Roman"/>
                <w:color w:val="auto"/>
                <w:sz w:val="24"/>
                <w:szCs w:val="24"/>
                <w:lang w:val="en-US" w:eastAsia="zh-CN"/>
              </w:rPr>
              <w:t>相距较近，</w:t>
            </w:r>
            <w:r>
              <w:rPr>
                <w:rFonts w:hint="default" w:ascii="Times New Roman" w:hAnsi="Times New Roman" w:eastAsia="宋体" w:cs="Times New Roman"/>
                <w:color w:val="auto"/>
                <w:sz w:val="24"/>
                <w:szCs w:val="24"/>
                <w:lang w:val="en-US" w:eastAsia="zh-CN"/>
              </w:rPr>
              <w:t>因此，本项目熔炼与浇注工序共用1套袋式除尘器</w:t>
            </w:r>
            <w:r>
              <w:rPr>
                <w:rFonts w:hint="eastAsia" w:ascii="Times New Roman" w:hAnsi="Times New Roman" w:eastAsia="宋体" w:cs="Times New Roman"/>
                <w:color w:val="auto"/>
                <w:sz w:val="24"/>
                <w:szCs w:val="24"/>
                <w:lang w:val="en-US" w:eastAsia="zh-CN"/>
              </w:rPr>
              <w:t>（TA001）</w:t>
            </w:r>
            <w:r>
              <w:rPr>
                <w:rFonts w:hint="default" w:ascii="Times New Roman" w:hAnsi="Times New Roman" w:eastAsia="宋体" w:cs="Times New Roman"/>
                <w:color w:val="auto"/>
                <w:sz w:val="24"/>
                <w:szCs w:val="24"/>
                <w:lang w:val="en-US" w:eastAsia="zh-CN"/>
              </w:rPr>
              <w:t>，混砂与造型工序共用1套袋式除尘器</w:t>
            </w:r>
            <w:r>
              <w:rPr>
                <w:rFonts w:hint="eastAsia" w:ascii="Times New Roman" w:hAnsi="Times New Roman" w:eastAsia="宋体" w:cs="Times New Roman"/>
                <w:color w:val="auto"/>
                <w:sz w:val="24"/>
                <w:szCs w:val="24"/>
                <w:lang w:val="en-US" w:eastAsia="zh-CN"/>
              </w:rPr>
              <w:t>（TA004）</w:t>
            </w:r>
            <w:r>
              <w:rPr>
                <w:rFonts w:hint="default" w:ascii="Times New Roman" w:hAnsi="Times New Roman" w:eastAsia="宋体" w:cs="Times New Roman"/>
                <w:color w:val="auto"/>
                <w:sz w:val="24"/>
                <w:szCs w:val="24"/>
                <w:lang w:val="en-US" w:eastAsia="zh-CN"/>
              </w:rPr>
              <w:t>，不属于重大变动。</w:t>
            </w:r>
          </w:p>
          <w:p w14:paraId="20B2A434">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Chars="0" w:firstLine="480" w:firstLineChars="200"/>
              <w:jc w:val="left"/>
              <w:textAlignment w:val="auto"/>
              <w:outlineLvl w:val="9"/>
              <w:rPr>
                <w:rFonts w:hint="default" w:ascii="Times New Roman" w:hAnsi="Times New Roman" w:eastAsia="宋体" w:cs="Times New Roman"/>
                <w:b w:val="0"/>
                <w:bCs/>
                <w:sz w:val="24"/>
                <w:szCs w:val="24"/>
                <w:lang w:val="en-US" w:eastAsia="zh-CN"/>
              </w:rPr>
            </w:pPr>
          </w:p>
          <w:p w14:paraId="59E2FA88">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leftChars="0" w:firstLine="480" w:firstLineChars="200"/>
              <w:jc w:val="left"/>
              <w:textAlignment w:val="auto"/>
              <w:outlineLvl w:val="9"/>
              <w:rPr>
                <w:rFonts w:hint="default" w:ascii="Times New Roman" w:hAnsi="Times New Roman" w:eastAsia="宋体" w:cs="Times New Roman"/>
                <w:b w:val="0"/>
                <w:bCs/>
                <w:sz w:val="24"/>
                <w:szCs w:val="24"/>
                <w:lang w:val="en-US" w:eastAsia="zh-CN"/>
              </w:rPr>
            </w:pPr>
          </w:p>
          <w:p w14:paraId="18EE49D6">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75808F5C">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5590DF7F">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68A38917">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2A72C2E0">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3DE4CF9C">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49ACCB5D">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6F759F3A">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1F6CA588">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73EE6680">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797EE283">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60234189">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0C27FDCF">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0451DF11">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7A75BCF5">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5A8EE63B">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144FA24E">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41A25F5E">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331D7132">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eastAsia" w:ascii="Times New Roman" w:hAnsi="Times New Roman" w:eastAsia="宋体" w:cs="Times New Roman"/>
                <w:color w:val="000000" w:themeColor="text1"/>
                <w:lang w:val="en-US" w:eastAsia="zh-CN"/>
                <w14:textFill>
                  <w14:solidFill>
                    <w14:schemeClr w14:val="tx1"/>
                  </w14:solidFill>
                </w14:textFill>
              </w:rPr>
            </w:pPr>
          </w:p>
          <w:p w14:paraId="12AB1A36">
            <w:pPr>
              <w:keepNext w:val="0"/>
              <w:keepLines w:val="0"/>
              <w:pageBreakBefore w:val="0"/>
              <w:widowControl/>
              <w:numPr>
                <w:ilvl w:val="0"/>
                <w:numId w:val="0"/>
              </w:numPr>
              <w:kinsoku/>
              <w:wordWrap/>
              <w:overflowPunct/>
              <w:topLinePunct w:val="0"/>
              <w:autoSpaceDE/>
              <w:autoSpaceDN/>
              <w:bidi w:val="0"/>
              <w:adjustRightInd/>
              <w:snapToGrid/>
              <w:spacing w:after="0" w:line="360" w:lineRule="auto"/>
              <w:jc w:val="left"/>
              <w:textAlignment w:val="auto"/>
              <w:outlineLvl w:val="9"/>
              <w:rPr>
                <w:rFonts w:hint="default" w:ascii="Times New Roman" w:hAnsi="Times New Roman" w:eastAsia="宋体" w:cs="Times New Roman"/>
                <w:color w:val="000000" w:themeColor="text1"/>
                <w:lang w:val="en-US" w:eastAsia="zh-CN"/>
                <w14:textFill>
                  <w14:solidFill>
                    <w14:schemeClr w14:val="tx1"/>
                  </w14:solidFill>
                </w14:textFill>
              </w:rPr>
            </w:pPr>
          </w:p>
        </w:tc>
      </w:tr>
    </w:tbl>
    <w:p w14:paraId="56CF7E10">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eastAsiaTheme="minor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472BFD57">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表三</w:t>
      </w:r>
    </w:p>
    <w:tbl>
      <w:tblPr>
        <w:tblStyle w:val="17"/>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14:paraId="52FB5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7" w:hRule="atLeast"/>
          <w:jc w:val="center"/>
        </w:trPr>
        <w:tc>
          <w:tcPr>
            <w:tcW w:w="9288" w:type="dxa"/>
            <w:vAlign w:val="center"/>
          </w:tcPr>
          <w:p w14:paraId="71BE99E9">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主要污染源、污染物处理和排放</w:t>
            </w:r>
            <w:r>
              <w:rPr>
                <w:rFonts w:hint="default" w:ascii="Times New Roman" w:hAnsi="Times New Roman" w:cs="Times New Roman"/>
                <w:b/>
                <w:bCs/>
                <w:color w:val="000000" w:themeColor="text1"/>
                <w:sz w:val="24"/>
                <w:szCs w:val="24"/>
                <w:lang w:val="en-US" w:eastAsia="zh-CN" w:bidi="ar-SA"/>
                <w14:textFill>
                  <w14:solidFill>
                    <w14:schemeClr w14:val="tx1"/>
                  </w14:solidFill>
                </w14:textFill>
              </w:rPr>
              <w:t>：</w:t>
            </w:r>
          </w:p>
          <w:p w14:paraId="2AB9FFBC">
            <w:pPr>
              <w:pStyle w:val="5"/>
              <w:keepNext w:val="0"/>
              <w:keepLines w:val="0"/>
              <w:pageBreakBefore w:val="0"/>
              <w:widowControl/>
              <w:kinsoku/>
              <w:wordWrap/>
              <w:overflowPunct/>
              <w:topLinePunct w:val="0"/>
              <w:autoSpaceDE/>
              <w:autoSpaceDN/>
              <w:bidi w:val="0"/>
              <w:adjustRightInd/>
              <w:snapToGrid/>
              <w:spacing w:after="0" w:line="520" w:lineRule="exac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1、废气</w:t>
            </w:r>
          </w:p>
          <w:p w14:paraId="2D7966A5">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本项目的废气来源主要为</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生产</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过程产生的废气，详见下表。</w:t>
            </w:r>
          </w:p>
          <w:p w14:paraId="2F56D59A">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 xml:space="preserve">8   </w:t>
            </w:r>
            <w:r>
              <w:rPr>
                <w:rFonts w:hint="default" w:ascii="Times New Roman" w:hAnsi="Times New Roman" w:cs="Times New Roman" w:eastAsiaTheme="minorEastAsia"/>
                <w:b/>
                <w:bCs/>
                <w:color w:val="auto"/>
                <w:kern w:val="2"/>
                <w:sz w:val="24"/>
                <w:szCs w:val="24"/>
                <w:lang w:val="en-US" w:eastAsia="zh-CN" w:bidi="ar-SA"/>
              </w:rPr>
              <w:t>本项目废气污染物情况一览表</w:t>
            </w:r>
          </w:p>
          <w:tbl>
            <w:tblPr>
              <w:tblStyle w:val="18"/>
              <w:tblW w:w="90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1"/>
              <w:gridCol w:w="1870"/>
              <w:gridCol w:w="3814"/>
              <w:gridCol w:w="1242"/>
            </w:tblGrid>
            <w:tr w14:paraId="3492D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31" w:type="dxa"/>
                  <w:vAlign w:val="center"/>
                </w:tcPr>
                <w:p w14:paraId="66991FB4">
                  <w:pPr>
                    <w:pStyle w:val="4"/>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来源</w:t>
                  </w:r>
                </w:p>
              </w:tc>
              <w:tc>
                <w:tcPr>
                  <w:tcW w:w="1870" w:type="dxa"/>
                  <w:vAlign w:val="center"/>
                </w:tcPr>
                <w:p w14:paraId="5A963C7D">
                  <w:pPr>
                    <w:pStyle w:val="4"/>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污染物种类</w:t>
                  </w:r>
                </w:p>
              </w:tc>
              <w:tc>
                <w:tcPr>
                  <w:tcW w:w="3814" w:type="dxa"/>
                  <w:vAlign w:val="center"/>
                </w:tcPr>
                <w:p w14:paraId="15BB59D0">
                  <w:pPr>
                    <w:pStyle w:val="4"/>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治理措施</w:t>
                  </w:r>
                </w:p>
              </w:tc>
              <w:tc>
                <w:tcPr>
                  <w:tcW w:w="1242" w:type="dxa"/>
                  <w:vAlign w:val="center"/>
                </w:tcPr>
                <w:p w14:paraId="70EECE3C">
                  <w:pPr>
                    <w:pStyle w:val="4"/>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排放方式</w:t>
                  </w:r>
                </w:p>
              </w:tc>
            </w:tr>
            <w:tr w14:paraId="5A7FA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31" w:type="dxa"/>
                  <w:vAlign w:val="center"/>
                </w:tcPr>
                <w:p w14:paraId="082DE611">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铸造生产线废气（4#车间）</w:t>
                  </w:r>
                </w:p>
              </w:tc>
              <w:tc>
                <w:tcPr>
                  <w:tcW w:w="1870" w:type="dxa"/>
                  <w:vAlign w:val="center"/>
                </w:tcPr>
                <w:p w14:paraId="57F55F36">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颗粒物</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、非甲烷总烃</w:t>
                  </w:r>
                </w:p>
              </w:tc>
              <w:tc>
                <w:tcPr>
                  <w:tcW w:w="3814" w:type="dxa"/>
                  <w:vAlign w:val="center"/>
                </w:tcPr>
                <w:p w14:paraId="2791695B">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袋式除尘器+活性炭吸附+</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集中袋式除尘器</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+15m排气筒（P1）</w:t>
                  </w:r>
                </w:p>
              </w:tc>
              <w:tc>
                <w:tcPr>
                  <w:tcW w:w="1242" w:type="dxa"/>
                  <w:vAlign w:val="center"/>
                </w:tcPr>
                <w:p w14:paraId="38C5B36B">
                  <w:pPr>
                    <w:pStyle w:val="4"/>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有组织排放</w:t>
                  </w:r>
                </w:p>
              </w:tc>
            </w:tr>
            <w:tr w14:paraId="15C1B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2131" w:type="dxa"/>
                  <w:vAlign w:val="center"/>
                </w:tcPr>
                <w:p w14:paraId="769E865D">
                  <w:pPr>
                    <w:pStyle w:val="4"/>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无组织废气</w:t>
                  </w:r>
                </w:p>
              </w:tc>
              <w:tc>
                <w:tcPr>
                  <w:tcW w:w="1870" w:type="dxa"/>
                  <w:vAlign w:val="center"/>
                </w:tcPr>
                <w:p w14:paraId="011FD341">
                  <w:pPr>
                    <w:pStyle w:val="4"/>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颗粒物、非甲烷总烃</w:t>
                  </w:r>
                </w:p>
              </w:tc>
              <w:tc>
                <w:tcPr>
                  <w:tcW w:w="3814" w:type="dxa"/>
                  <w:vAlign w:val="center"/>
                </w:tcPr>
                <w:p w14:paraId="3B607F8A">
                  <w:pPr>
                    <w:pStyle w:val="4"/>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p>
              </w:tc>
              <w:tc>
                <w:tcPr>
                  <w:tcW w:w="1242" w:type="dxa"/>
                  <w:vAlign w:val="center"/>
                </w:tcPr>
                <w:p w14:paraId="436B30A7">
                  <w:pPr>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无组织排放</w:t>
                  </w:r>
                </w:p>
              </w:tc>
            </w:tr>
          </w:tbl>
          <w:p w14:paraId="09C17F3B">
            <w:pPr>
              <w:pStyle w:val="5"/>
              <w:keepNext w:val="0"/>
              <w:keepLines w:val="0"/>
              <w:pageBreakBefore w:val="0"/>
              <w:widowControl/>
              <w:kinsoku/>
              <w:wordWrap/>
              <w:overflowPunct/>
              <w:topLinePunct w:val="0"/>
              <w:autoSpaceDE/>
              <w:autoSpaceDN/>
              <w:bidi w:val="0"/>
              <w:adjustRightInd/>
              <w:snapToGrid/>
              <w:spacing w:after="0" w:line="520" w:lineRule="exac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2、废水</w:t>
            </w:r>
          </w:p>
          <w:p w14:paraId="2C547C1F">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本</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项目运营期的废水主要为员工生活污水。</w:t>
            </w:r>
          </w:p>
          <w:p w14:paraId="16900193">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生活污水产生量为</w:t>
            </w:r>
            <w:r>
              <w:rPr>
                <w:rFonts w:hint="default" w:ascii="Times New Roman" w:hAnsi="Times New Roman" w:cs="Times New Roman"/>
                <w:bCs/>
                <w:color w:val="auto"/>
                <w:kern w:val="0"/>
                <w:sz w:val="24"/>
              </w:rPr>
              <w:t>0.96m</w:t>
            </w:r>
            <w:r>
              <w:rPr>
                <w:rFonts w:hint="default" w:ascii="Times New Roman" w:hAnsi="Times New Roman" w:cs="Times New Roman"/>
                <w:bCs/>
                <w:color w:val="auto"/>
                <w:kern w:val="0"/>
                <w:sz w:val="24"/>
                <w:vertAlign w:val="superscript"/>
              </w:rPr>
              <w:t>3</w:t>
            </w:r>
            <w:r>
              <w:rPr>
                <w:rFonts w:hint="default" w:ascii="Times New Roman" w:hAnsi="Times New Roman" w:cs="Times New Roman"/>
                <w:bCs/>
                <w:color w:val="auto"/>
                <w:kern w:val="0"/>
                <w:sz w:val="24"/>
              </w:rPr>
              <w:t>/d（240m</w:t>
            </w:r>
            <w:r>
              <w:rPr>
                <w:rFonts w:hint="default" w:ascii="Times New Roman" w:hAnsi="Times New Roman" w:cs="Times New Roman"/>
                <w:bCs/>
                <w:color w:val="auto"/>
                <w:kern w:val="0"/>
                <w:sz w:val="24"/>
                <w:vertAlign w:val="superscript"/>
              </w:rPr>
              <w:t>3</w:t>
            </w:r>
            <w:r>
              <w:rPr>
                <w:rFonts w:hint="default" w:ascii="Times New Roman" w:hAnsi="Times New Roman" w:cs="Times New Roman"/>
                <w:bCs/>
                <w:color w:val="auto"/>
                <w:kern w:val="0"/>
                <w:sz w:val="24"/>
              </w:rPr>
              <w:t>/a）</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主要污染因子为COD、BOD</w:t>
            </w:r>
            <w:r>
              <w:rPr>
                <w:rFonts w:hint="default" w:ascii="Times New Roman" w:hAnsi="Times New Roman" w:cs="Times New Roman" w:eastAsiaTheme="minorEastAsia"/>
                <w:b w:val="0"/>
                <w:bCs w:val="0"/>
                <w:color w:val="000000" w:themeColor="text1"/>
                <w:kern w:val="2"/>
                <w:sz w:val="24"/>
                <w:szCs w:val="24"/>
                <w:vertAlign w:val="subscript"/>
                <w:lang w:val="en-US" w:eastAsia="zh-CN" w:bidi="ar-SA"/>
                <w14:textFill>
                  <w14:solidFill>
                    <w14:schemeClr w14:val="tx1"/>
                  </w14:solidFill>
                </w14:textFill>
              </w:rPr>
              <w:t>5</w:t>
            </w:r>
            <w:r>
              <w:rPr>
                <w:rFonts w:hint="default" w:ascii="Times New Roman" w:hAnsi="Times New Roman" w:cs="Times New Roman" w:eastAsiaTheme="minorEastAsia"/>
                <w:b w:val="0"/>
                <w:bCs w:val="0"/>
                <w:color w:val="000000" w:themeColor="text1"/>
                <w:kern w:val="2"/>
                <w:sz w:val="24"/>
                <w:szCs w:val="24"/>
                <w:vertAlign w:val="baseline"/>
                <w:lang w:val="en-US" w:eastAsia="zh-CN" w:bidi="ar-SA"/>
                <w14:textFill>
                  <w14:solidFill>
                    <w14:schemeClr w14:val="tx1"/>
                  </w14:solidFill>
                </w14:textFill>
              </w:rPr>
              <w:t>、</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SS、氨氮、</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总磷、总氮</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，生活污水收集后</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经厂区15m</w:t>
            </w:r>
            <w:r>
              <w:rPr>
                <w:rFonts w:hint="eastAsia" w:ascii="Times New Roman" w:hAnsi="Times New Roman" w:eastAsia="宋体" w:cs="Times New Roman"/>
                <w:color w:val="000000" w:themeColor="text1"/>
                <w:kern w:val="0"/>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化粪池处理</w:t>
            </w:r>
            <w:r>
              <w:rPr>
                <w:rFonts w:hint="eastAsia" w:ascii="Times New Roman" w:hAnsi="Times New Roman" w:eastAsia="宋体" w:cs="Times New Roman"/>
                <w:color w:val="000000" w:themeColor="text1"/>
                <w:kern w:val="0"/>
                <w:sz w:val="24"/>
                <w:szCs w:val="24"/>
                <w:vertAlign w:val="baseline"/>
                <w:lang w:val="en-US" w:eastAsia="zh-CN" w:bidi="ar-SA"/>
                <w14:textFill>
                  <w14:solidFill>
                    <w14:schemeClr w14:val="tx1"/>
                  </w14:solidFill>
                </w14:textFill>
              </w:rPr>
              <w:t>后</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排入长垣市第二污水处理厂。</w:t>
            </w:r>
          </w:p>
          <w:p w14:paraId="268902DE">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3、噪声</w:t>
            </w:r>
          </w:p>
          <w:p w14:paraId="490BF19B">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本</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项目主要噪声源为</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钢壳中频磁轭炉</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、抛丸机、</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造型机</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等设施运行时产生的噪声。据类比调查，高噪声设备源强在75～</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85</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dB（A）。本项目采用隔声、消声、减振等方式治理噪声污染。</w:t>
            </w:r>
          </w:p>
          <w:p w14:paraId="713471A1">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9   本项目</w:t>
            </w:r>
            <w:r>
              <w:rPr>
                <w:rFonts w:hint="default" w:ascii="Times New Roman" w:hAnsi="Times New Roman" w:cs="Times New Roman" w:eastAsiaTheme="minorEastAsia"/>
                <w:b/>
                <w:bCs/>
                <w:color w:val="auto"/>
                <w:kern w:val="2"/>
                <w:sz w:val="24"/>
                <w:szCs w:val="24"/>
                <w:lang w:val="en-US" w:eastAsia="zh-CN" w:bidi="ar-SA"/>
              </w:rPr>
              <w:t>主要产噪设备及源强</w:t>
            </w:r>
            <w:r>
              <w:rPr>
                <w:rFonts w:hint="eastAsia" w:ascii="Times New Roman" w:hAnsi="Times New Roman" w:cs="Times New Roman" w:eastAsiaTheme="minorEastAsia"/>
                <w:b/>
                <w:bCs/>
                <w:color w:val="auto"/>
                <w:kern w:val="2"/>
                <w:sz w:val="24"/>
                <w:szCs w:val="24"/>
                <w:lang w:val="en-US" w:eastAsia="zh-CN" w:bidi="ar-SA"/>
              </w:rPr>
              <w:t>一览</w:t>
            </w:r>
            <w:r>
              <w:rPr>
                <w:rFonts w:hint="default" w:ascii="Times New Roman" w:hAnsi="Times New Roman" w:cs="Times New Roman" w:eastAsiaTheme="minorEastAsia"/>
                <w:b/>
                <w:bCs/>
                <w:color w:val="auto"/>
                <w:kern w:val="2"/>
                <w:sz w:val="24"/>
                <w:szCs w:val="24"/>
                <w:lang w:val="en-US" w:eastAsia="zh-CN" w:bidi="ar-SA"/>
              </w:rPr>
              <w:t>表</w:t>
            </w:r>
          </w:p>
          <w:tbl>
            <w:tblPr>
              <w:tblStyle w:val="17"/>
              <w:tblW w:w="9058"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148"/>
              <w:gridCol w:w="2706"/>
              <w:gridCol w:w="2574"/>
              <w:gridCol w:w="2630"/>
            </w:tblGrid>
            <w:tr w14:paraId="5EF0903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2" w:hRule="atLeast"/>
                <w:tblHeader/>
                <w:jc w:val="center"/>
              </w:trPr>
              <w:tc>
                <w:tcPr>
                  <w:tcW w:w="1148" w:type="dxa"/>
                  <w:vAlign w:val="center"/>
                </w:tcPr>
                <w:p w14:paraId="59B1A5C4">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序号</w:t>
                  </w:r>
                </w:p>
              </w:tc>
              <w:tc>
                <w:tcPr>
                  <w:tcW w:w="2706" w:type="dxa"/>
                  <w:vAlign w:val="center"/>
                </w:tcPr>
                <w:p w14:paraId="66F66645">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声源名称</w:t>
                  </w:r>
                </w:p>
              </w:tc>
              <w:tc>
                <w:tcPr>
                  <w:tcW w:w="2574" w:type="dxa"/>
                  <w:vAlign w:val="center"/>
                </w:tcPr>
                <w:p w14:paraId="6FE8BCB1">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声级</w:t>
                  </w:r>
                </w:p>
              </w:tc>
              <w:tc>
                <w:tcPr>
                  <w:tcW w:w="2630" w:type="dxa"/>
                  <w:vAlign w:val="center"/>
                </w:tcPr>
                <w:p w14:paraId="58B3DA91">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经基础减震、建筑隔声</w:t>
                  </w:r>
                </w:p>
              </w:tc>
            </w:tr>
            <w:tr w14:paraId="217AA09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7" w:hRule="atLeast"/>
                <w:tblHeader/>
                <w:jc w:val="center"/>
              </w:trPr>
              <w:tc>
                <w:tcPr>
                  <w:tcW w:w="1148" w:type="dxa"/>
                  <w:vAlign w:val="center"/>
                </w:tcPr>
                <w:p w14:paraId="50CA1B62">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2706" w:type="dxa"/>
                  <w:vAlign w:val="center"/>
                </w:tcPr>
                <w:p w14:paraId="2860714E">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钢壳中频磁轭炉</w:t>
                  </w:r>
                </w:p>
              </w:tc>
              <w:tc>
                <w:tcPr>
                  <w:tcW w:w="2574" w:type="dxa"/>
                  <w:vAlign w:val="center"/>
                </w:tcPr>
                <w:p w14:paraId="0EE1C7C9">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bidi="ar-SA"/>
                    </w:rPr>
                    <w:t>75</w:t>
                  </w:r>
                </w:p>
              </w:tc>
              <w:tc>
                <w:tcPr>
                  <w:tcW w:w="2630" w:type="dxa"/>
                  <w:vAlign w:val="center"/>
                </w:tcPr>
                <w:p w14:paraId="58668624">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bidi="ar-SA"/>
                    </w:rPr>
                    <w:t>55</w:t>
                  </w:r>
                </w:p>
              </w:tc>
            </w:tr>
            <w:tr w14:paraId="4CB1235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7" w:hRule="atLeast"/>
                <w:tblHeader/>
                <w:jc w:val="center"/>
              </w:trPr>
              <w:tc>
                <w:tcPr>
                  <w:tcW w:w="1148" w:type="dxa"/>
                  <w:vAlign w:val="center"/>
                </w:tcPr>
                <w:p w14:paraId="414E9765">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w:t>
                  </w:r>
                </w:p>
              </w:tc>
              <w:tc>
                <w:tcPr>
                  <w:tcW w:w="2706" w:type="dxa"/>
                  <w:vAlign w:val="center"/>
                </w:tcPr>
                <w:p w14:paraId="3BDD4CD4">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bidi="ar-SA"/>
                    </w:rPr>
                    <w:t>抛丸机</w:t>
                  </w:r>
                </w:p>
              </w:tc>
              <w:tc>
                <w:tcPr>
                  <w:tcW w:w="2574" w:type="dxa"/>
                  <w:vAlign w:val="center"/>
                </w:tcPr>
                <w:p w14:paraId="1172F0D0">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bidi="ar-SA"/>
                    </w:rPr>
                    <w:t>85</w:t>
                  </w:r>
                </w:p>
              </w:tc>
              <w:tc>
                <w:tcPr>
                  <w:tcW w:w="2630" w:type="dxa"/>
                  <w:vAlign w:val="center"/>
                </w:tcPr>
                <w:p w14:paraId="358C07D9">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bidi="ar-SA"/>
                    </w:rPr>
                    <w:t>65</w:t>
                  </w:r>
                </w:p>
              </w:tc>
            </w:tr>
            <w:tr w14:paraId="62CEBE7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tblHeader/>
                <w:jc w:val="center"/>
              </w:trPr>
              <w:tc>
                <w:tcPr>
                  <w:tcW w:w="1148" w:type="dxa"/>
                  <w:vAlign w:val="center"/>
                </w:tcPr>
                <w:p w14:paraId="2084C47A">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w:t>
                  </w:r>
                </w:p>
              </w:tc>
              <w:tc>
                <w:tcPr>
                  <w:tcW w:w="2706" w:type="dxa"/>
                  <w:vAlign w:val="center"/>
                </w:tcPr>
                <w:p w14:paraId="1E260233">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造型机</w:t>
                  </w:r>
                </w:p>
              </w:tc>
              <w:tc>
                <w:tcPr>
                  <w:tcW w:w="2574" w:type="dxa"/>
                  <w:vAlign w:val="center"/>
                </w:tcPr>
                <w:p w14:paraId="314968C4">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bidi="ar-SA"/>
                    </w:rPr>
                    <w:t>80</w:t>
                  </w:r>
                </w:p>
              </w:tc>
              <w:tc>
                <w:tcPr>
                  <w:tcW w:w="2630" w:type="dxa"/>
                  <w:vAlign w:val="center"/>
                </w:tcPr>
                <w:p w14:paraId="7042B65F">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bidi="ar-SA"/>
                    </w:rPr>
                    <w:t>60</w:t>
                  </w:r>
                </w:p>
              </w:tc>
            </w:tr>
            <w:tr w14:paraId="2C1B665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tblHeader/>
                <w:jc w:val="center"/>
              </w:trPr>
              <w:tc>
                <w:tcPr>
                  <w:tcW w:w="1148" w:type="dxa"/>
                  <w:vAlign w:val="center"/>
                </w:tcPr>
                <w:p w14:paraId="3A7BEC4D">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4</w:t>
                  </w:r>
                </w:p>
              </w:tc>
              <w:tc>
                <w:tcPr>
                  <w:tcW w:w="2706" w:type="dxa"/>
                  <w:vAlign w:val="center"/>
                </w:tcPr>
                <w:p w14:paraId="3465E409">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eastAsia"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混砂机</w:t>
                  </w:r>
                </w:p>
              </w:tc>
              <w:tc>
                <w:tcPr>
                  <w:tcW w:w="2574" w:type="dxa"/>
                  <w:vAlign w:val="center"/>
                </w:tcPr>
                <w:p w14:paraId="4A9971CC">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80</w:t>
                  </w:r>
                </w:p>
              </w:tc>
              <w:tc>
                <w:tcPr>
                  <w:tcW w:w="2630" w:type="dxa"/>
                  <w:vAlign w:val="center"/>
                </w:tcPr>
                <w:p w14:paraId="3B13F001">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60</w:t>
                  </w:r>
                </w:p>
              </w:tc>
            </w:tr>
            <w:tr w14:paraId="6C11FD8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blHeader/>
                <w:jc w:val="center"/>
              </w:trPr>
              <w:tc>
                <w:tcPr>
                  <w:tcW w:w="1148" w:type="dxa"/>
                  <w:vAlign w:val="center"/>
                </w:tcPr>
                <w:p w14:paraId="70B6EB03">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w:t>
                  </w:r>
                </w:p>
              </w:tc>
              <w:tc>
                <w:tcPr>
                  <w:tcW w:w="2706" w:type="dxa"/>
                  <w:vAlign w:val="center"/>
                </w:tcPr>
                <w:p w14:paraId="7B8A0847">
                  <w:pPr>
                    <w:keepNext w:val="0"/>
                    <w:keepLines w:val="0"/>
                    <w:pageBreakBefore w:val="0"/>
                    <w:widowControl/>
                    <w:kinsoku/>
                    <w:wordWrap/>
                    <w:overflowPunct/>
                    <w:topLinePunct w:val="0"/>
                    <w:autoSpaceDE/>
                    <w:autoSpaceDN/>
                    <w:bidi w:val="0"/>
                    <w:adjustRightInd/>
                    <w:snapToGrid/>
                    <w:spacing w:after="0" w:afterLines="0" w:line="240" w:lineRule="auto"/>
                    <w:ind w:left="0" w:leftChars="0" w:right="0" w:rightChars="0" w:firstLine="0" w:firstLineChars="0"/>
                    <w:jc w:val="center"/>
                    <w:textAlignment w:val="auto"/>
                    <w:outlineLvl w:val="9"/>
                    <w:rPr>
                      <w:rFonts w:hint="default" w:ascii="Times New Roman" w:hAnsi="Times New Roman" w:cs="Times New Roman" w:eastAsiaTheme="minorEastAsia"/>
                      <w:kern w:val="0"/>
                      <w:sz w:val="21"/>
                      <w:szCs w:val="21"/>
                      <w:lang w:val="en-US" w:eastAsia="zh-CN" w:bidi="ar-SA"/>
                    </w:rPr>
                  </w:pPr>
                  <w:r>
                    <w:rPr>
                      <w:rFonts w:hint="default" w:ascii="Times New Roman" w:hAnsi="Times New Roman" w:cs="Times New Roman" w:eastAsiaTheme="minorEastAsia"/>
                      <w:kern w:val="0"/>
                      <w:sz w:val="21"/>
                      <w:szCs w:val="21"/>
                      <w:lang w:val="en-US" w:eastAsia="zh-CN" w:bidi="ar-SA"/>
                    </w:rPr>
                    <w:t>回火炉</w:t>
                  </w:r>
                </w:p>
              </w:tc>
              <w:tc>
                <w:tcPr>
                  <w:tcW w:w="2574" w:type="dxa"/>
                  <w:vAlign w:val="center"/>
                </w:tcPr>
                <w:p w14:paraId="431B2F8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75</w:t>
                  </w:r>
                </w:p>
              </w:tc>
              <w:tc>
                <w:tcPr>
                  <w:tcW w:w="2630" w:type="dxa"/>
                  <w:vAlign w:val="center"/>
                </w:tcPr>
                <w:p w14:paraId="4B6B608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kern w:val="0"/>
                      <w:sz w:val="21"/>
                      <w:szCs w:val="21"/>
                      <w:lang w:val="en-US" w:eastAsia="zh-CN" w:bidi="ar-SA"/>
                    </w:rPr>
                  </w:pPr>
                  <w:r>
                    <w:rPr>
                      <w:rFonts w:hint="eastAsia" w:ascii="Times New Roman" w:hAnsi="Times New Roman" w:cs="Times New Roman" w:eastAsiaTheme="minorEastAsia"/>
                      <w:kern w:val="0"/>
                      <w:sz w:val="21"/>
                      <w:szCs w:val="21"/>
                      <w:lang w:val="en-US" w:eastAsia="zh-CN" w:bidi="ar-SA"/>
                    </w:rPr>
                    <w:t>55</w:t>
                  </w:r>
                </w:p>
              </w:tc>
            </w:tr>
          </w:tbl>
          <w:p w14:paraId="4180053F">
            <w:pPr>
              <w:pStyle w:val="5"/>
              <w:keepNext w:val="0"/>
              <w:keepLines w:val="0"/>
              <w:pageBreakBefore w:val="0"/>
              <w:widowControl/>
              <w:kinsoku/>
              <w:wordWrap/>
              <w:overflowPunct/>
              <w:topLinePunct w:val="0"/>
              <w:autoSpaceDE/>
              <w:autoSpaceDN/>
              <w:bidi w:val="0"/>
              <w:adjustRightInd/>
              <w:snapToGrid/>
              <w:spacing w:after="0" w:line="520" w:lineRule="exact"/>
              <w:ind w:left="0"/>
              <w:jc w:val="left"/>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4、固体废物</w:t>
            </w:r>
          </w:p>
          <w:p w14:paraId="0DDD2455">
            <w:pPr>
              <w:keepNext w:val="0"/>
              <w:keepLines w:val="0"/>
              <w:pageBreakBefore w:val="0"/>
              <w:widowControl/>
              <w:kinsoku/>
              <w:wordWrap/>
              <w:overflowPunct/>
              <w:topLinePunct w:val="0"/>
              <w:autoSpaceDE/>
              <w:autoSpaceDN/>
              <w:bidi w:val="0"/>
              <w:adjustRightInd/>
              <w:snapToGrid/>
              <w:spacing w:after="0" w:line="520" w:lineRule="exact"/>
              <w:ind w:left="0"/>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10   本</w:t>
            </w:r>
            <w:r>
              <w:rPr>
                <w:rFonts w:hint="default" w:ascii="Times New Roman" w:hAnsi="Times New Roman" w:cs="Times New Roman" w:eastAsiaTheme="minorEastAsia"/>
                <w:b/>
                <w:bCs/>
                <w:color w:val="auto"/>
                <w:kern w:val="2"/>
                <w:sz w:val="24"/>
                <w:szCs w:val="24"/>
                <w:lang w:val="en-US" w:eastAsia="zh-CN" w:bidi="ar-SA"/>
              </w:rPr>
              <w:t>项目实施后固体废物产生情况一览表</w:t>
            </w:r>
          </w:p>
          <w:tbl>
            <w:tblPr>
              <w:tblStyle w:val="17"/>
              <w:tblW w:w="90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6"/>
              <w:gridCol w:w="1407"/>
              <w:gridCol w:w="1199"/>
              <w:gridCol w:w="2409"/>
              <w:gridCol w:w="2836"/>
            </w:tblGrid>
            <w:tr w14:paraId="5FFA9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246" w:type="dxa"/>
                  <w:noWrap w:val="0"/>
                  <w:vAlign w:val="center"/>
                </w:tcPr>
                <w:p w14:paraId="2CD5F588">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bidi="ar-SA"/>
                    </w:rPr>
                    <w:t>类型</w:t>
                  </w:r>
                </w:p>
              </w:tc>
              <w:tc>
                <w:tcPr>
                  <w:tcW w:w="1407" w:type="dxa"/>
                  <w:noWrap w:val="0"/>
                  <w:vAlign w:val="center"/>
                </w:tcPr>
                <w:p w14:paraId="317E5F1F">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bidi="ar-SA"/>
                    </w:rPr>
                    <w:t>废物名称</w:t>
                  </w:r>
                </w:p>
              </w:tc>
              <w:tc>
                <w:tcPr>
                  <w:tcW w:w="1199" w:type="dxa"/>
                  <w:noWrap w:val="0"/>
                  <w:vAlign w:val="center"/>
                </w:tcPr>
                <w:p w14:paraId="01159A9D">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bidi="ar-SA"/>
                    </w:rPr>
                    <w:t>产生量</w:t>
                  </w:r>
                </w:p>
              </w:tc>
              <w:tc>
                <w:tcPr>
                  <w:tcW w:w="2409" w:type="dxa"/>
                  <w:noWrap w:val="0"/>
                  <w:vAlign w:val="center"/>
                </w:tcPr>
                <w:p w14:paraId="66BF7D58">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bidi="ar-SA"/>
                    </w:rPr>
                    <w:t>类别</w:t>
                  </w:r>
                </w:p>
              </w:tc>
              <w:tc>
                <w:tcPr>
                  <w:tcW w:w="2836" w:type="dxa"/>
                  <w:noWrap w:val="0"/>
                  <w:vAlign w:val="center"/>
                </w:tcPr>
                <w:p w14:paraId="1C275A15">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bidi="ar-SA"/>
                    </w:rPr>
                    <w:t>处理处置方式及去向</w:t>
                  </w:r>
                </w:p>
              </w:tc>
            </w:tr>
            <w:tr w14:paraId="74141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246" w:type="dxa"/>
                  <w:vMerge w:val="restart"/>
                  <w:noWrap w:val="0"/>
                  <w:vAlign w:val="center"/>
                </w:tcPr>
                <w:p w14:paraId="429215E5">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bidi="ar-SA"/>
                    </w:rPr>
                    <w:t>一般固废</w:t>
                  </w:r>
                </w:p>
              </w:tc>
              <w:tc>
                <w:tcPr>
                  <w:tcW w:w="1407" w:type="dxa"/>
                  <w:shd w:val="clear" w:color="auto" w:fill="auto"/>
                  <w:noWrap w:val="0"/>
                  <w:vAlign w:val="center"/>
                </w:tcPr>
                <w:p w14:paraId="332CE779">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金属</w:t>
                  </w:r>
                  <w:r>
                    <w:rPr>
                      <w:rFonts w:hint="default" w:ascii="Times New Roman" w:hAnsi="Times New Roman" w:cs="Times New Roman" w:eastAsiaTheme="minorEastAsia"/>
                      <w:sz w:val="21"/>
                      <w:szCs w:val="21"/>
                      <w:lang w:val="en-US" w:eastAsia="zh-CN" w:bidi="ar-SA"/>
                    </w:rPr>
                    <w:t>边角料</w:t>
                  </w:r>
                </w:p>
              </w:tc>
              <w:tc>
                <w:tcPr>
                  <w:tcW w:w="1199" w:type="dxa"/>
                  <w:shd w:val="clear" w:color="auto" w:fill="auto"/>
                  <w:noWrap w:val="0"/>
                  <w:vAlign w:val="center"/>
                </w:tcPr>
                <w:p w14:paraId="30EB390B">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6</w:t>
                  </w:r>
                  <w:r>
                    <w:rPr>
                      <w:rFonts w:hint="default" w:ascii="Times New Roman" w:hAnsi="Times New Roman" w:cs="Times New Roman" w:eastAsiaTheme="minorEastAsia"/>
                      <w:sz w:val="21"/>
                      <w:szCs w:val="21"/>
                      <w:lang w:val="en-US" w:eastAsia="zh-CN" w:bidi="ar-SA"/>
                    </w:rPr>
                    <w:t>t/a</w:t>
                  </w:r>
                </w:p>
              </w:tc>
              <w:tc>
                <w:tcPr>
                  <w:tcW w:w="2409" w:type="dxa"/>
                  <w:noWrap w:val="0"/>
                  <w:vAlign w:val="center"/>
                </w:tcPr>
                <w:p w14:paraId="78C488BC">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bidi="ar-SA"/>
                    </w:rPr>
                    <w:t>/</w:t>
                  </w:r>
                </w:p>
              </w:tc>
              <w:tc>
                <w:tcPr>
                  <w:tcW w:w="2836" w:type="dxa"/>
                  <w:noWrap w:val="0"/>
                  <w:vAlign w:val="center"/>
                </w:tcPr>
                <w:p w14:paraId="10BB6181">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bidi="ar-SA"/>
                    </w:rPr>
                    <w:t>回用于熔炼工序</w:t>
                  </w:r>
                </w:p>
              </w:tc>
            </w:tr>
            <w:tr w14:paraId="1BBA5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1246" w:type="dxa"/>
                  <w:vMerge w:val="continue"/>
                  <w:noWrap w:val="0"/>
                  <w:vAlign w:val="center"/>
                </w:tcPr>
                <w:p w14:paraId="3B2E8A85">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p>
              </w:tc>
              <w:tc>
                <w:tcPr>
                  <w:tcW w:w="1407" w:type="dxa"/>
                  <w:shd w:val="clear" w:color="auto" w:fill="auto"/>
                  <w:noWrap w:val="0"/>
                  <w:vAlign w:val="center"/>
                </w:tcPr>
                <w:p w14:paraId="5BE81C46">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炉渣</w:t>
                  </w:r>
                </w:p>
              </w:tc>
              <w:tc>
                <w:tcPr>
                  <w:tcW w:w="1199" w:type="dxa"/>
                  <w:shd w:val="clear" w:color="auto" w:fill="auto"/>
                  <w:noWrap w:val="0"/>
                  <w:vAlign w:val="center"/>
                </w:tcPr>
                <w:p w14:paraId="627A0C98">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48</w:t>
                  </w:r>
                  <w:r>
                    <w:rPr>
                      <w:rFonts w:hint="default" w:ascii="Times New Roman" w:hAnsi="Times New Roman" w:cs="Times New Roman" w:eastAsiaTheme="minorEastAsia"/>
                      <w:sz w:val="21"/>
                      <w:szCs w:val="21"/>
                      <w:lang w:val="en-US" w:eastAsia="zh-CN" w:bidi="ar-SA"/>
                    </w:rPr>
                    <w:t>0t</w:t>
                  </w:r>
                  <w:r>
                    <w:rPr>
                      <w:rFonts w:hint="eastAsia" w:ascii="Times New Roman" w:hAnsi="Times New Roman" w:cs="Times New Roman" w:eastAsiaTheme="minorEastAsia"/>
                      <w:sz w:val="21"/>
                      <w:szCs w:val="21"/>
                      <w:lang w:val="en-US" w:eastAsia="zh-CN" w:bidi="ar-SA"/>
                    </w:rPr>
                    <w:t>/a</w:t>
                  </w:r>
                </w:p>
              </w:tc>
              <w:tc>
                <w:tcPr>
                  <w:tcW w:w="2409" w:type="dxa"/>
                  <w:noWrap w:val="0"/>
                  <w:vAlign w:val="center"/>
                </w:tcPr>
                <w:p w14:paraId="7A297E04">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bidi="ar-SA"/>
                    </w:rPr>
                    <w:t>/</w:t>
                  </w:r>
                </w:p>
              </w:tc>
              <w:tc>
                <w:tcPr>
                  <w:tcW w:w="2836" w:type="dxa"/>
                  <w:noWrap w:val="0"/>
                  <w:vAlign w:val="center"/>
                </w:tcPr>
                <w:p w14:paraId="75A0C0AE">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bidi="ar-SA"/>
                    </w:rPr>
                    <w:t>在一般固废暂存</w:t>
                  </w:r>
                  <w:r>
                    <w:rPr>
                      <w:rFonts w:hint="eastAsia" w:ascii="Times New Roman" w:hAnsi="Times New Roman" w:cs="Times New Roman" w:eastAsiaTheme="minorEastAsia"/>
                      <w:sz w:val="21"/>
                      <w:szCs w:val="21"/>
                      <w:lang w:val="en-US" w:eastAsia="zh-CN" w:bidi="ar-SA"/>
                    </w:rPr>
                    <w:t>区</w:t>
                  </w:r>
                  <w:r>
                    <w:rPr>
                      <w:rFonts w:hint="default" w:ascii="Times New Roman" w:hAnsi="Times New Roman" w:cs="Times New Roman" w:eastAsiaTheme="minorEastAsia"/>
                      <w:sz w:val="21"/>
                      <w:szCs w:val="21"/>
                      <w:lang w:val="en-US" w:eastAsia="zh-CN" w:bidi="ar-SA"/>
                    </w:rPr>
                    <w:t>暂存后，由原厂家回收</w:t>
                  </w:r>
                </w:p>
              </w:tc>
            </w:tr>
            <w:tr w14:paraId="4C039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246" w:type="dxa"/>
                  <w:vMerge w:val="continue"/>
                  <w:noWrap w:val="0"/>
                  <w:vAlign w:val="center"/>
                </w:tcPr>
                <w:p w14:paraId="02FA180A">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p>
              </w:tc>
              <w:tc>
                <w:tcPr>
                  <w:tcW w:w="1407" w:type="dxa"/>
                  <w:shd w:val="clear" w:color="auto" w:fill="auto"/>
                  <w:noWrap w:val="0"/>
                  <w:vAlign w:val="center"/>
                </w:tcPr>
                <w:p w14:paraId="69E6D2CF">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bidi="ar-SA"/>
                    </w:rPr>
                    <w:t>废</w:t>
                  </w:r>
                  <w:r>
                    <w:rPr>
                      <w:rFonts w:hint="eastAsia" w:ascii="Times New Roman" w:hAnsi="Times New Roman" w:cs="Times New Roman" w:eastAsiaTheme="minorEastAsia"/>
                      <w:sz w:val="21"/>
                      <w:szCs w:val="21"/>
                      <w:lang w:val="en-US" w:eastAsia="zh-CN" w:bidi="ar-SA"/>
                    </w:rPr>
                    <w:t>砂</w:t>
                  </w:r>
                </w:p>
              </w:tc>
              <w:tc>
                <w:tcPr>
                  <w:tcW w:w="1199" w:type="dxa"/>
                  <w:shd w:val="clear" w:color="auto" w:fill="auto"/>
                  <w:noWrap w:val="0"/>
                  <w:vAlign w:val="center"/>
                </w:tcPr>
                <w:p w14:paraId="0E90E4F4">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20t/a</w:t>
                  </w:r>
                </w:p>
              </w:tc>
              <w:tc>
                <w:tcPr>
                  <w:tcW w:w="2409" w:type="dxa"/>
                  <w:noWrap w:val="0"/>
                  <w:vAlign w:val="center"/>
                </w:tcPr>
                <w:p w14:paraId="4492D580">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bidi="ar-SA"/>
                    </w:rPr>
                    <w:t>/</w:t>
                  </w:r>
                </w:p>
              </w:tc>
              <w:tc>
                <w:tcPr>
                  <w:tcW w:w="2836" w:type="dxa"/>
                  <w:vMerge w:val="restart"/>
                  <w:noWrap w:val="0"/>
                  <w:vAlign w:val="center"/>
                </w:tcPr>
                <w:p w14:paraId="3E8639F2">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bidi="ar-SA"/>
                    </w:rPr>
                    <w:t>在一般固废暂存</w:t>
                  </w:r>
                  <w:r>
                    <w:rPr>
                      <w:rFonts w:hint="eastAsia" w:ascii="Times New Roman" w:hAnsi="Times New Roman" w:cs="Times New Roman" w:eastAsiaTheme="minorEastAsia"/>
                      <w:sz w:val="21"/>
                      <w:szCs w:val="21"/>
                      <w:lang w:val="en-US" w:eastAsia="zh-CN" w:bidi="ar-SA"/>
                    </w:rPr>
                    <w:t>区</w:t>
                  </w:r>
                  <w:r>
                    <w:rPr>
                      <w:rFonts w:hint="default" w:ascii="Times New Roman" w:hAnsi="Times New Roman" w:cs="Times New Roman" w:eastAsiaTheme="minorEastAsia"/>
                      <w:sz w:val="21"/>
                      <w:szCs w:val="21"/>
                      <w:lang w:val="en-US" w:eastAsia="zh-CN" w:bidi="ar-SA"/>
                    </w:rPr>
                    <w:t>暂存后，</w:t>
                  </w:r>
                  <w:r>
                    <w:rPr>
                      <w:rFonts w:hint="eastAsia" w:ascii="Times New Roman" w:hAnsi="Times New Roman" w:cs="Times New Roman" w:eastAsiaTheme="minorEastAsia"/>
                      <w:sz w:val="21"/>
                      <w:szCs w:val="21"/>
                      <w:lang w:val="en-US" w:eastAsia="zh-CN" w:bidi="ar-SA"/>
                    </w:rPr>
                    <w:t>集</w:t>
                  </w:r>
                  <w:r>
                    <w:rPr>
                      <w:rFonts w:hint="default" w:ascii="Times New Roman" w:hAnsi="Times New Roman" w:cs="Times New Roman" w:eastAsiaTheme="minorEastAsia"/>
                      <w:sz w:val="21"/>
                      <w:szCs w:val="21"/>
                      <w:lang w:val="en-US" w:eastAsia="zh-CN" w:bidi="ar-SA"/>
                    </w:rPr>
                    <w:t>中收集</w:t>
                  </w:r>
                  <w:r>
                    <w:rPr>
                      <w:rFonts w:hint="eastAsia" w:ascii="Times New Roman" w:hAnsi="Times New Roman" w:cs="Times New Roman" w:eastAsiaTheme="minorEastAsia"/>
                      <w:sz w:val="21"/>
                      <w:szCs w:val="21"/>
                      <w:lang w:val="en-US" w:eastAsia="zh-CN" w:bidi="ar-SA"/>
                    </w:rPr>
                    <w:t>后外售</w:t>
                  </w:r>
                </w:p>
              </w:tc>
            </w:tr>
            <w:tr w14:paraId="34023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246" w:type="dxa"/>
                  <w:vMerge w:val="continue"/>
                  <w:noWrap w:val="0"/>
                  <w:vAlign w:val="center"/>
                </w:tcPr>
                <w:p w14:paraId="02CC1C19">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p>
              </w:tc>
              <w:tc>
                <w:tcPr>
                  <w:tcW w:w="1407" w:type="dxa"/>
                  <w:shd w:val="clear" w:color="auto" w:fill="auto"/>
                  <w:noWrap w:val="0"/>
                  <w:vAlign w:val="center"/>
                </w:tcPr>
                <w:p w14:paraId="49004FA7">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废钢丸</w:t>
                  </w:r>
                </w:p>
              </w:tc>
              <w:tc>
                <w:tcPr>
                  <w:tcW w:w="1199" w:type="dxa"/>
                  <w:shd w:val="clear" w:color="auto" w:fill="auto"/>
                  <w:noWrap w:val="0"/>
                  <w:vAlign w:val="center"/>
                </w:tcPr>
                <w:p w14:paraId="37C87763">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4t/a</w:t>
                  </w:r>
                </w:p>
              </w:tc>
              <w:tc>
                <w:tcPr>
                  <w:tcW w:w="2409" w:type="dxa"/>
                  <w:noWrap w:val="0"/>
                  <w:vAlign w:val="center"/>
                </w:tcPr>
                <w:p w14:paraId="2D63CCA0">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p>
              </w:tc>
              <w:tc>
                <w:tcPr>
                  <w:tcW w:w="2836" w:type="dxa"/>
                  <w:vMerge w:val="continue"/>
                  <w:noWrap w:val="0"/>
                  <w:vAlign w:val="center"/>
                </w:tcPr>
                <w:p w14:paraId="003E1616">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p>
              </w:tc>
            </w:tr>
            <w:tr w14:paraId="5463B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246" w:type="dxa"/>
                  <w:vMerge w:val="continue"/>
                  <w:tcBorders>
                    <w:bottom w:val="single" w:color="000000" w:sz="4" w:space="0"/>
                  </w:tcBorders>
                  <w:noWrap w:val="0"/>
                  <w:vAlign w:val="center"/>
                </w:tcPr>
                <w:p w14:paraId="44000133">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p>
              </w:tc>
              <w:tc>
                <w:tcPr>
                  <w:tcW w:w="1407" w:type="dxa"/>
                  <w:tcBorders>
                    <w:bottom w:val="single" w:color="000000" w:sz="4" w:space="0"/>
                  </w:tcBorders>
                  <w:shd w:val="clear" w:color="auto" w:fill="auto"/>
                  <w:noWrap w:val="0"/>
                  <w:vAlign w:val="center"/>
                </w:tcPr>
                <w:p w14:paraId="600A1286">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除尘灰</w:t>
                  </w:r>
                </w:p>
              </w:tc>
              <w:tc>
                <w:tcPr>
                  <w:tcW w:w="1199" w:type="dxa"/>
                  <w:shd w:val="clear" w:color="auto" w:fill="auto"/>
                  <w:noWrap w:val="0"/>
                  <w:vAlign w:val="center"/>
                </w:tcPr>
                <w:p w14:paraId="77B65C89">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72.9559t/a</w:t>
                  </w:r>
                </w:p>
              </w:tc>
              <w:tc>
                <w:tcPr>
                  <w:tcW w:w="2409" w:type="dxa"/>
                  <w:tcBorders>
                    <w:bottom w:val="single" w:color="000000" w:sz="4" w:space="0"/>
                  </w:tcBorders>
                  <w:noWrap w:val="0"/>
                  <w:vAlign w:val="center"/>
                </w:tcPr>
                <w:p w14:paraId="6C1F035F">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bidi="ar-SA"/>
                    </w:rPr>
                    <w:t>/</w:t>
                  </w:r>
                </w:p>
              </w:tc>
              <w:tc>
                <w:tcPr>
                  <w:tcW w:w="2836" w:type="dxa"/>
                  <w:vMerge w:val="continue"/>
                  <w:tcBorders>
                    <w:bottom w:val="single" w:color="000000" w:sz="4" w:space="0"/>
                  </w:tcBorders>
                  <w:noWrap w:val="0"/>
                  <w:vAlign w:val="center"/>
                </w:tcPr>
                <w:p w14:paraId="46E7055F">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p>
              </w:tc>
            </w:tr>
            <w:tr w14:paraId="2E10A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246" w:type="dxa"/>
                  <w:vMerge w:val="restart"/>
                  <w:tcBorders>
                    <w:top w:val="single" w:color="000000" w:sz="4" w:space="0"/>
                  </w:tcBorders>
                  <w:noWrap w:val="0"/>
                  <w:vAlign w:val="center"/>
                </w:tcPr>
                <w:p w14:paraId="69A86408">
                  <w:pPr>
                    <w:pStyle w:val="27"/>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bidi="ar-SA"/>
                    </w:rPr>
                    <w:t>危险废物</w:t>
                  </w:r>
                </w:p>
              </w:tc>
              <w:tc>
                <w:tcPr>
                  <w:tcW w:w="1407" w:type="dxa"/>
                  <w:tcBorders>
                    <w:top w:val="single" w:color="000000" w:sz="4" w:space="0"/>
                  </w:tcBorders>
                  <w:shd w:val="clear" w:color="auto" w:fill="auto"/>
                  <w:noWrap w:val="0"/>
                  <w:vAlign w:val="center"/>
                </w:tcPr>
                <w:p w14:paraId="0030D055">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bidi="ar-SA"/>
                    </w:rPr>
                    <w:t>废活性炭</w:t>
                  </w:r>
                </w:p>
              </w:tc>
              <w:tc>
                <w:tcPr>
                  <w:tcW w:w="1199" w:type="dxa"/>
                  <w:shd w:val="clear" w:color="auto" w:fill="auto"/>
                  <w:noWrap w:val="0"/>
                  <w:vAlign w:val="center"/>
                </w:tcPr>
                <w:p w14:paraId="4E608B33">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0.864t/a</w:t>
                  </w:r>
                </w:p>
              </w:tc>
              <w:tc>
                <w:tcPr>
                  <w:tcW w:w="2409" w:type="dxa"/>
                  <w:tcBorders>
                    <w:top w:val="single" w:color="000000" w:sz="4" w:space="0"/>
                  </w:tcBorders>
                  <w:shd w:val="clear" w:color="auto" w:fill="auto"/>
                  <w:noWrap w:val="0"/>
                  <w:vAlign w:val="center"/>
                </w:tcPr>
                <w:p w14:paraId="29E2FA52">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bidi="ar-SA"/>
                    </w:rPr>
                    <w:t>HW49其他废物</w:t>
                  </w:r>
                </w:p>
              </w:tc>
              <w:tc>
                <w:tcPr>
                  <w:tcW w:w="2836" w:type="dxa"/>
                  <w:vMerge w:val="restart"/>
                  <w:tcBorders>
                    <w:top w:val="single" w:color="000000" w:sz="4" w:space="0"/>
                  </w:tcBorders>
                  <w:noWrap w:val="0"/>
                  <w:vAlign w:val="center"/>
                </w:tcPr>
                <w:p w14:paraId="48EE1F88">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bidi="ar-SA"/>
                    </w:rPr>
                    <w:t>设置危废暂存间，定期交由资质单位处置</w:t>
                  </w:r>
                </w:p>
              </w:tc>
            </w:tr>
            <w:tr w14:paraId="03594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246" w:type="dxa"/>
                  <w:vMerge w:val="continue"/>
                  <w:noWrap w:val="0"/>
                  <w:vAlign w:val="center"/>
                </w:tcPr>
                <w:p w14:paraId="120ED909">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p>
              </w:tc>
              <w:tc>
                <w:tcPr>
                  <w:tcW w:w="1407" w:type="dxa"/>
                  <w:shd w:val="clear" w:color="auto" w:fill="auto"/>
                  <w:noWrap w:val="0"/>
                  <w:vAlign w:val="center"/>
                </w:tcPr>
                <w:p w14:paraId="55002010">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废切削液</w:t>
                  </w:r>
                </w:p>
              </w:tc>
              <w:tc>
                <w:tcPr>
                  <w:tcW w:w="1199" w:type="dxa"/>
                  <w:shd w:val="clear" w:color="auto" w:fill="auto"/>
                  <w:noWrap w:val="0"/>
                  <w:vAlign w:val="center"/>
                </w:tcPr>
                <w:p w14:paraId="59BC5C0E">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0.</w:t>
                  </w:r>
                  <w:r>
                    <w:rPr>
                      <w:rFonts w:hint="default" w:ascii="Times New Roman" w:hAnsi="Times New Roman" w:cs="Times New Roman" w:eastAsiaTheme="minorEastAsia"/>
                      <w:sz w:val="21"/>
                      <w:szCs w:val="21"/>
                      <w:lang w:val="en-US" w:eastAsia="zh-CN" w:bidi="ar-SA"/>
                    </w:rPr>
                    <w:t>5</w:t>
                  </w:r>
                  <w:r>
                    <w:rPr>
                      <w:rFonts w:hint="eastAsia" w:ascii="Times New Roman" w:hAnsi="Times New Roman" w:cs="Times New Roman" w:eastAsiaTheme="minorEastAsia"/>
                      <w:sz w:val="21"/>
                      <w:szCs w:val="21"/>
                      <w:lang w:val="en-US" w:eastAsia="zh-CN" w:bidi="ar-SA"/>
                    </w:rPr>
                    <w:t>t/a</w:t>
                  </w:r>
                </w:p>
              </w:tc>
              <w:tc>
                <w:tcPr>
                  <w:tcW w:w="2409" w:type="dxa"/>
                  <w:shd w:val="clear" w:color="auto" w:fill="auto"/>
                  <w:noWrap w:val="0"/>
                  <w:vAlign w:val="center"/>
                </w:tcPr>
                <w:p w14:paraId="552128FA">
                  <w:pPr>
                    <w:keepNext w:val="0"/>
                    <w:keepLines w:val="0"/>
                    <w:pageBreakBefore w:val="0"/>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HW09</w:t>
                  </w:r>
                </w:p>
                <w:p w14:paraId="72FA8119">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油/水、烃/水混合物或乳化液</w:t>
                  </w:r>
                </w:p>
              </w:tc>
              <w:tc>
                <w:tcPr>
                  <w:tcW w:w="2836" w:type="dxa"/>
                  <w:vMerge w:val="continue"/>
                  <w:noWrap w:val="0"/>
                  <w:vAlign w:val="center"/>
                </w:tcPr>
                <w:p w14:paraId="68D4ABCB">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p>
              </w:tc>
            </w:tr>
            <w:tr w14:paraId="2EB06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246" w:type="dxa"/>
                  <w:vMerge w:val="continue"/>
                  <w:noWrap w:val="0"/>
                  <w:vAlign w:val="center"/>
                </w:tcPr>
                <w:p w14:paraId="636B9243">
                  <w:pPr>
                    <w:pStyle w:val="27"/>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p>
              </w:tc>
              <w:tc>
                <w:tcPr>
                  <w:tcW w:w="1407" w:type="dxa"/>
                  <w:tcBorders>
                    <w:left w:val="single" w:color="000000" w:sz="4" w:space="0"/>
                  </w:tcBorders>
                  <w:shd w:val="clear" w:color="auto" w:fill="auto"/>
                  <w:noWrap w:val="0"/>
                  <w:vAlign w:val="center"/>
                </w:tcPr>
                <w:p w14:paraId="63C989AF">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废机油</w:t>
                  </w:r>
                </w:p>
              </w:tc>
              <w:tc>
                <w:tcPr>
                  <w:tcW w:w="1199" w:type="dxa"/>
                  <w:shd w:val="clear" w:color="auto" w:fill="auto"/>
                  <w:noWrap w:val="0"/>
                  <w:vAlign w:val="center"/>
                </w:tcPr>
                <w:p w14:paraId="3C224C47">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0.2t/a</w:t>
                  </w:r>
                </w:p>
              </w:tc>
              <w:tc>
                <w:tcPr>
                  <w:tcW w:w="2409" w:type="dxa"/>
                  <w:shd w:val="clear" w:color="auto" w:fill="auto"/>
                  <w:noWrap w:val="0"/>
                  <w:vAlign w:val="center"/>
                </w:tcPr>
                <w:p w14:paraId="1A5E208D">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bidi="ar-SA"/>
                    </w:rPr>
                    <w:t>HW08</w:t>
                  </w:r>
                </w:p>
                <w:p w14:paraId="74C52423">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bidi="ar-SA"/>
                    </w:rPr>
                    <w:t>废矿物油与含矿物油废物</w:t>
                  </w:r>
                </w:p>
              </w:tc>
              <w:tc>
                <w:tcPr>
                  <w:tcW w:w="2836" w:type="dxa"/>
                  <w:vMerge w:val="continue"/>
                  <w:noWrap w:val="0"/>
                  <w:vAlign w:val="center"/>
                </w:tcPr>
                <w:p w14:paraId="52302811">
                  <w:pPr>
                    <w:pStyle w:val="27"/>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p>
              </w:tc>
            </w:tr>
            <w:tr w14:paraId="025D4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246" w:type="dxa"/>
                  <w:vMerge w:val="continue"/>
                  <w:noWrap w:val="0"/>
                  <w:vAlign w:val="center"/>
                </w:tcPr>
                <w:p w14:paraId="487E6396">
                  <w:pPr>
                    <w:pStyle w:val="27"/>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p>
              </w:tc>
              <w:tc>
                <w:tcPr>
                  <w:tcW w:w="1407" w:type="dxa"/>
                  <w:tcBorders>
                    <w:left w:val="single" w:color="000000" w:sz="4" w:space="0"/>
                  </w:tcBorders>
                  <w:shd w:val="clear" w:color="auto" w:fill="auto"/>
                  <w:noWrap w:val="0"/>
                  <w:vAlign w:val="center"/>
                </w:tcPr>
                <w:p w14:paraId="5EDBC68B">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废石棉</w:t>
                  </w:r>
                </w:p>
              </w:tc>
              <w:tc>
                <w:tcPr>
                  <w:tcW w:w="1199" w:type="dxa"/>
                  <w:shd w:val="clear" w:color="auto" w:fill="auto"/>
                  <w:noWrap w:val="0"/>
                  <w:vAlign w:val="center"/>
                </w:tcPr>
                <w:p w14:paraId="072271B4">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1t/a</w:t>
                  </w:r>
                </w:p>
              </w:tc>
              <w:tc>
                <w:tcPr>
                  <w:tcW w:w="2409" w:type="dxa"/>
                  <w:tcBorders>
                    <w:bottom w:val="single" w:color="000000" w:sz="4" w:space="0"/>
                  </w:tcBorders>
                  <w:shd w:val="clear" w:color="auto" w:fill="auto"/>
                  <w:noWrap w:val="0"/>
                  <w:vAlign w:val="center"/>
                </w:tcPr>
                <w:p w14:paraId="62791C79">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bidi="ar-SA"/>
                    </w:rPr>
                    <w:t>HW36</w:t>
                  </w:r>
                </w:p>
                <w:p w14:paraId="30AE2E6E">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bidi="ar-SA"/>
                    </w:rPr>
                    <w:t>石棉废物</w:t>
                  </w:r>
                </w:p>
              </w:tc>
              <w:tc>
                <w:tcPr>
                  <w:tcW w:w="2836" w:type="dxa"/>
                  <w:vMerge w:val="continue"/>
                  <w:tcBorders>
                    <w:bottom w:val="single" w:color="000000" w:sz="4" w:space="0"/>
                  </w:tcBorders>
                  <w:noWrap w:val="0"/>
                  <w:vAlign w:val="center"/>
                </w:tcPr>
                <w:p w14:paraId="07F4D040">
                  <w:pPr>
                    <w:pStyle w:val="27"/>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p>
              </w:tc>
            </w:tr>
            <w:tr w14:paraId="11F63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trPr>
              <w:tc>
                <w:tcPr>
                  <w:tcW w:w="2653" w:type="dxa"/>
                  <w:gridSpan w:val="2"/>
                  <w:noWrap w:val="0"/>
                  <w:vAlign w:val="center"/>
                </w:tcPr>
                <w:p w14:paraId="5F3BEC73">
                  <w:pPr>
                    <w:pStyle w:val="27"/>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bidi="ar-SA"/>
                    </w:rPr>
                    <w:t>生活垃圾</w:t>
                  </w:r>
                </w:p>
              </w:tc>
              <w:tc>
                <w:tcPr>
                  <w:tcW w:w="1199" w:type="dxa"/>
                  <w:noWrap w:val="0"/>
                  <w:vAlign w:val="center"/>
                </w:tcPr>
                <w:p w14:paraId="3BFE0449">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bidi="ar-SA"/>
                    </w:rPr>
                    <w:t>3.75t/a</w:t>
                  </w:r>
                </w:p>
              </w:tc>
              <w:tc>
                <w:tcPr>
                  <w:tcW w:w="2409" w:type="dxa"/>
                  <w:noWrap w:val="0"/>
                  <w:vAlign w:val="center"/>
                </w:tcPr>
                <w:p w14:paraId="5D1B66FA">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bidi="ar-SA"/>
                    </w:rPr>
                    <w:t>/</w:t>
                  </w:r>
                </w:p>
              </w:tc>
              <w:tc>
                <w:tcPr>
                  <w:tcW w:w="2836" w:type="dxa"/>
                  <w:tcBorders>
                    <w:top w:val="single" w:color="000000" w:sz="4" w:space="0"/>
                  </w:tcBorders>
                  <w:noWrap w:val="0"/>
                  <w:vAlign w:val="center"/>
                </w:tcPr>
                <w:p w14:paraId="4613C98B">
                  <w:pPr>
                    <w:pStyle w:val="27"/>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bidi="ar-SA"/>
                    </w:rPr>
                    <w:t>集中收集交由环卫部门处理处置</w:t>
                  </w:r>
                </w:p>
              </w:tc>
            </w:tr>
          </w:tbl>
          <w:p w14:paraId="1DA27100">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45CA3A7B">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5780FF2E">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27CAB755">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5D0D767B">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1599D43C">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1DFF8DA7">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2D9DD94B">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14A00FF6">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49AB91D1">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563FD8E8">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68702F7D">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0814F89E">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7FDC8258">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00B4CA79">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094B3D55">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5043D34B">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6C9DE060">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cs="Times New Roman" w:eastAsiaTheme="minorEastAsia"/>
                <w:color w:val="000000" w:themeColor="text1"/>
                <w:sz w:val="24"/>
                <w:szCs w:val="24"/>
                <w:lang w:val="en-US" w:eastAsia="zh-CN"/>
                <w14:textFill>
                  <w14:solidFill>
                    <w14:schemeClr w14:val="tx1"/>
                  </w14:solidFill>
                </w14:textFill>
              </w:rPr>
            </w:pPr>
          </w:p>
          <w:p w14:paraId="5ADB0DB4">
            <w:pPr>
              <w:pStyle w:val="4"/>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tc>
      </w:tr>
    </w:tbl>
    <w:p w14:paraId="2C06DA34">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A5C4F94">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表四</w:t>
      </w:r>
    </w:p>
    <w:tbl>
      <w:tblPr>
        <w:tblStyle w:val="17"/>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14:paraId="5B2A6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0" w:hRule="atLeast"/>
          <w:jc w:val="center"/>
        </w:trPr>
        <w:tc>
          <w:tcPr>
            <w:tcW w:w="9288" w:type="dxa"/>
            <w:vAlign w:val="top"/>
          </w:tcPr>
          <w:p w14:paraId="21FF11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right="0" w:rightChars="0"/>
              <w:jc w:val="left"/>
              <w:textAlignment w:val="auto"/>
              <w:outlineLvl w:val="9"/>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建设项目环境影响报告表主要结论及审批部门审批决定：</w:t>
            </w:r>
          </w:p>
          <w:p w14:paraId="166E02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2"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1、环境影响报告表主要结论</w:t>
            </w:r>
          </w:p>
          <w:p w14:paraId="36BE82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bookmarkStart w:id="1" w:name="_Toc5839"/>
            <w:bookmarkStart w:id="2" w:name="_Toc29747"/>
            <w:bookmarkStart w:id="3" w:name="_Toc27259"/>
            <w:bookmarkStart w:id="4" w:name="_Toc22133"/>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（1）废气：本项目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熔炼工序先经配套“袋式除尘器（1#）+活性炭吸附装置”处理；造型制芯、浇注、混砂、落砂/旧砂再生、抛丸、割冒口先经各自配套除尘器（3#、4#、5#、6#、7#、8#）处理，最后一同进入集中式布袋除尘器（2#）进行处理，最终由15m排气筒排放（P1）</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；本项目废气经处理后可达标排放。</w:t>
            </w:r>
          </w:p>
          <w:p w14:paraId="5050A6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（2）废水：本项目无生产废水排放；生活污水经化粪池处理后排入长垣市第</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二</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污水处理厂。因此，本项目废水对周围环境影响较小。</w:t>
            </w:r>
          </w:p>
          <w:p w14:paraId="4D70E4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（3）噪声：本项目噪声源经选用低噪声设备、隔声、减振措施后可达标排放，对区域环境基本无影响。</w:t>
            </w:r>
          </w:p>
          <w:p w14:paraId="687BBD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（4）固体废物：本项目一般固废在厂区暂存后外售；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依托厂区原有</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危废暂存间，危险废物在厂区危废暂存间暂存后，定期交由资质单位处置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生活垃圾经垃圾桶收集后由当地环卫部门处置。因此，本项目固废对周围环境影响较小。</w:t>
            </w:r>
          </w:p>
          <w:p w14:paraId="217B19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2" w:firstLineChars="200"/>
              <w:jc w:val="left"/>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审批部门审批决定</w:t>
            </w:r>
            <w:bookmarkEnd w:id="1"/>
            <w:bookmarkEnd w:id="2"/>
            <w:bookmarkEnd w:id="3"/>
            <w:bookmarkEnd w:id="4"/>
          </w:p>
          <w:p w14:paraId="7317B6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你(单位)委托</w:t>
            </w:r>
            <w:r>
              <w:rPr>
                <w:rFonts w:hint="eastAsia" w:ascii="Times New Roman" w:hAnsi="Times New Roman" w:cs="Times New Roman" w:eastAsiaTheme="minorEastAsia"/>
                <w:color w:val="auto"/>
                <w:sz w:val="24"/>
                <w:szCs w:val="24"/>
                <w:lang w:val="en-US" w:eastAsia="zh-CN"/>
              </w:rPr>
              <w:t>河南省凝博</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生态科技有限公司</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编制的《</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新乡市科博特起重机械有限公司年产1.2万吨道轨交通配件项目</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环境影响报告表》已收悉。依据《中华人民共和国环境保护法》和《中华人民共和国环境影响评价法》等法律法规，经审查，现批复如下:</w:t>
            </w:r>
          </w:p>
          <w:p w14:paraId="53EFB7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一、原则批准《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新乡市科博特起重机械有限公司年产1.2万吨道轨交通配件项目</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环境影响报告表》，同意该项目在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长垣市魏庄镇华豫大道中段88号</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建设。</w:t>
            </w:r>
          </w:p>
          <w:p w14:paraId="42190F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二、严格执行环保“三同时”制度，认真落实环评要求及建议，并向社会公众主动公开已经批准的环境影响报告表，并接受相关方的咨询。环评中提及的污染防治措施可以作为该项目污染治理设施设计的依据。</w:t>
            </w:r>
          </w:p>
          <w:p w14:paraId="1DBBB4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三、项目产生的噪声、废水、废气、固废按照环评提出来的防治措施要求进行治理。</w:t>
            </w:r>
          </w:p>
          <w:p w14:paraId="4E890D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四、如果今后国家或我省颁布污染物排放限值的新标准，届时你公司应按新的排放标准执行。</w:t>
            </w:r>
          </w:p>
          <w:p w14:paraId="45E5B5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五、项目建成后的相关环保措施、设施应与主体工程应同时投运，你单位要对环保设施运行情况进行跟踪监测，并及时开展环保设施竣工验收。该项目由市环境监察大队负责监督管理，并明确责任人，加强检查和监管。随着周围环境、政策、法律法规的变化，我局有权收回所办理的审批手续。</w:t>
            </w:r>
          </w:p>
          <w:p w14:paraId="57F520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right="0" w:rightChars="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4E595D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rightChars="0"/>
              <w:jc w:val="left"/>
              <w:textAlignment w:val="auto"/>
              <w:outlineLvl w:val="9"/>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 xml:space="preserve"> </w:t>
            </w:r>
          </w:p>
          <w:p w14:paraId="416615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rightChars="0"/>
              <w:jc w:val="left"/>
              <w:textAlignment w:val="auto"/>
              <w:outlineLvl w:val="9"/>
              <w:rPr>
                <w:rFonts w:hint="eastAsia" w:ascii="Times New Roman" w:hAnsi="Times New Roman" w:cs="Times New Roman"/>
                <w:sz w:val="24"/>
                <w:szCs w:val="24"/>
                <w:lang w:val="en-US" w:eastAsia="zh-CN"/>
              </w:rPr>
            </w:pPr>
          </w:p>
          <w:p w14:paraId="2A9D4D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rightChars="0"/>
              <w:jc w:val="left"/>
              <w:textAlignment w:val="auto"/>
              <w:outlineLvl w:val="9"/>
              <w:rPr>
                <w:rFonts w:hint="eastAsia" w:ascii="Times New Roman" w:hAnsi="Times New Roman" w:cs="Times New Roman"/>
                <w:sz w:val="24"/>
                <w:szCs w:val="24"/>
                <w:lang w:val="en-US" w:eastAsia="zh-CN"/>
              </w:rPr>
            </w:pPr>
          </w:p>
          <w:p w14:paraId="13BDFC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rightChars="0"/>
              <w:jc w:val="left"/>
              <w:textAlignment w:val="auto"/>
              <w:outlineLvl w:val="9"/>
              <w:rPr>
                <w:rFonts w:hint="eastAsia" w:ascii="Times New Roman" w:hAnsi="Times New Roman" w:cs="Times New Roman"/>
                <w:sz w:val="24"/>
                <w:szCs w:val="24"/>
                <w:lang w:val="en-US" w:eastAsia="zh-CN"/>
              </w:rPr>
            </w:pPr>
          </w:p>
          <w:p w14:paraId="4E2CCD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rightChars="0"/>
              <w:jc w:val="left"/>
              <w:textAlignment w:val="auto"/>
              <w:outlineLvl w:val="9"/>
              <w:rPr>
                <w:rFonts w:hint="eastAsia" w:ascii="Times New Roman" w:hAnsi="Times New Roman" w:cs="Times New Roman"/>
                <w:sz w:val="24"/>
                <w:szCs w:val="24"/>
                <w:lang w:val="en-US" w:eastAsia="zh-CN"/>
              </w:rPr>
            </w:pPr>
          </w:p>
          <w:p w14:paraId="4D3E21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rightChars="0"/>
              <w:jc w:val="left"/>
              <w:textAlignment w:val="auto"/>
              <w:outlineLvl w:val="9"/>
              <w:rPr>
                <w:rFonts w:hint="eastAsia" w:ascii="Times New Roman" w:hAnsi="Times New Roman" w:cs="Times New Roman"/>
                <w:sz w:val="24"/>
                <w:szCs w:val="24"/>
                <w:lang w:val="en-US" w:eastAsia="zh-CN"/>
              </w:rPr>
            </w:pPr>
          </w:p>
          <w:p w14:paraId="01791F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rightChars="0"/>
              <w:jc w:val="left"/>
              <w:textAlignment w:val="auto"/>
              <w:outlineLvl w:val="9"/>
              <w:rPr>
                <w:rFonts w:hint="eastAsia" w:ascii="Times New Roman" w:hAnsi="Times New Roman" w:cs="Times New Roman"/>
                <w:sz w:val="24"/>
                <w:szCs w:val="24"/>
                <w:lang w:val="en-US" w:eastAsia="zh-CN"/>
              </w:rPr>
            </w:pPr>
          </w:p>
          <w:p w14:paraId="4E497A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rightChars="0"/>
              <w:jc w:val="left"/>
              <w:textAlignment w:val="auto"/>
              <w:outlineLvl w:val="9"/>
              <w:rPr>
                <w:rFonts w:hint="eastAsia" w:ascii="Times New Roman" w:hAnsi="Times New Roman" w:cs="Times New Roman"/>
                <w:sz w:val="24"/>
                <w:szCs w:val="24"/>
                <w:lang w:val="en-US" w:eastAsia="zh-CN"/>
              </w:rPr>
            </w:pPr>
          </w:p>
          <w:p w14:paraId="5CB6EA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rightChars="0"/>
              <w:jc w:val="left"/>
              <w:textAlignment w:val="auto"/>
              <w:outlineLvl w:val="9"/>
              <w:rPr>
                <w:rFonts w:hint="eastAsia" w:ascii="Times New Roman" w:hAnsi="Times New Roman" w:cs="Times New Roman"/>
                <w:sz w:val="24"/>
                <w:szCs w:val="24"/>
                <w:lang w:val="en-US" w:eastAsia="zh-CN"/>
              </w:rPr>
            </w:pPr>
          </w:p>
          <w:p w14:paraId="27C75F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rightChars="0"/>
              <w:jc w:val="left"/>
              <w:textAlignment w:val="auto"/>
              <w:outlineLvl w:val="9"/>
              <w:rPr>
                <w:rFonts w:hint="eastAsia" w:ascii="Times New Roman" w:hAnsi="Times New Roman" w:cs="Times New Roman"/>
                <w:sz w:val="24"/>
                <w:szCs w:val="24"/>
                <w:lang w:val="en-US" w:eastAsia="zh-CN"/>
              </w:rPr>
            </w:pPr>
          </w:p>
          <w:p w14:paraId="501D0E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rightChars="0"/>
              <w:jc w:val="left"/>
              <w:textAlignment w:val="auto"/>
              <w:outlineLvl w:val="9"/>
              <w:rPr>
                <w:rFonts w:hint="eastAsia" w:ascii="Times New Roman" w:hAnsi="Times New Roman" w:cs="Times New Roman"/>
                <w:sz w:val="24"/>
                <w:szCs w:val="24"/>
                <w:lang w:val="en-US" w:eastAsia="zh-CN"/>
              </w:rPr>
            </w:pPr>
          </w:p>
          <w:p w14:paraId="591F19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rightChars="0"/>
              <w:jc w:val="left"/>
              <w:textAlignment w:val="auto"/>
              <w:outlineLvl w:val="9"/>
              <w:rPr>
                <w:rFonts w:hint="eastAsia" w:ascii="Times New Roman" w:hAnsi="Times New Roman" w:cs="Times New Roman"/>
                <w:sz w:val="24"/>
                <w:szCs w:val="24"/>
                <w:lang w:val="en-US" w:eastAsia="zh-CN"/>
              </w:rPr>
            </w:pPr>
          </w:p>
          <w:p w14:paraId="19BC0A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rightChars="0"/>
              <w:jc w:val="left"/>
              <w:textAlignment w:val="auto"/>
              <w:outlineLvl w:val="9"/>
              <w:rPr>
                <w:rFonts w:hint="eastAsia" w:ascii="Times New Roman" w:hAnsi="Times New Roman" w:cs="Times New Roman"/>
                <w:sz w:val="24"/>
                <w:szCs w:val="24"/>
                <w:lang w:val="en-US" w:eastAsia="zh-CN"/>
              </w:rPr>
            </w:pPr>
          </w:p>
          <w:p w14:paraId="060FA7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rightChars="0"/>
              <w:jc w:val="left"/>
              <w:textAlignment w:val="auto"/>
              <w:outlineLvl w:val="9"/>
              <w:rPr>
                <w:rFonts w:hint="eastAsia" w:ascii="Times New Roman" w:hAnsi="Times New Roman" w:cs="Times New Roman"/>
                <w:sz w:val="24"/>
                <w:szCs w:val="24"/>
                <w:lang w:val="en-US" w:eastAsia="zh-CN"/>
              </w:rPr>
            </w:pPr>
          </w:p>
          <w:p w14:paraId="68574C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rightChars="0"/>
              <w:jc w:val="left"/>
              <w:textAlignment w:val="auto"/>
              <w:outlineLvl w:val="9"/>
              <w:rPr>
                <w:rFonts w:hint="eastAsia" w:ascii="Times New Roman" w:hAnsi="Times New Roman" w:cs="Times New Roman"/>
                <w:sz w:val="24"/>
                <w:szCs w:val="24"/>
                <w:lang w:val="en-US" w:eastAsia="zh-CN"/>
              </w:rPr>
            </w:pPr>
          </w:p>
          <w:p w14:paraId="3F1A28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rightChars="0"/>
              <w:jc w:val="left"/>
              <w:textAlignment w:val="auto"/>
              <w:outlineLvl w:val="9"/>
              <w:rPr>
                <w:rFonts w:hint="eastAsia" w:ascii="Times New Roman" w:hAnsi="Times New Roman" w:cs="Times New Roman"/>
                <w:sz w:val="24"/>
                <w:szCs w:val="24"/>
                <w:lang w:val="en-US" w:eastAsia="zh-CN"/>
              </w:rPr>
            </w:pPr>
          </w:p>
          <w:p w14:paraId="007444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rightChars="0"/>
              <w:jc w:val="left"/>
              <w:textAlignment w:val="auto"/>
              <w:outlineLvl w:val="9"/>
              <w:rPr>
                <w:rFonts w:hint="eastAsia" w:ascii="Times New Roman" w:hAnsi="Times New Roman" w:cs="Times New Roman"/>
                <w:sz w:val="24"/>
                <w:szCs w:val="24"/>
                <w:lang w:val="en-US" w:eastAsia="zh-CN"/>
              </w:rPr>
            </w:pPr>
          </w:p>
          <w:p w14:paraId="4D0E9C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rightChars="0"/>
              <w:jc w:val="left"/>
              <w:textAlignment w:val="auto"/>
              <w:outlineLvl w:val="9"/>
              <w:rPr>
                <w:rFonts w:hint="eastAsia" w:ascii="Times New Roman" w:hAnsi="Times New Roman" w:cs="Times New Roman"/>
                <w:sz w:val="24"/>
                <w:szCs w:val="24"/>
                <w:lang w:val="en-US" w:eastAsia="zh-CN"/>
              </w:rPr>
            </w:pPr>
          </w:p>
          <w:p w14:paraId="7EDA4E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rightChars="0"/>
              <w:jc w:val="left"/>
              <w:textAlignment w:val="auto"/>
              <w:outlineLvl w:val="9"/>
              <w:rPr>
                <w:rFonts w:hint="eastAsia" w:ascii="Times New Roman" w:hAnsi="Times New Roman" w:cs="Times New Roman"/>
                <w:sz w:val="24"/>
                <w:szCs w:val="24"/>
                <w:lang w:val="en-US" w:eastAsia="zh-CN"/>
              </w:rPr>
            </w:pPr>
          </w:p>
          <w:p w14:paraId="3D99E6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rightChars="0"/>
              <w:jc w:val="left"/>
              <w:textAlignment w:val="auto"/>
              <w:outlineLvl w:val="9"/>
              <w:rPr>
                <w:rFonts w:hint="default" w:ascii="Times New Roman" w:hAnsi="Times New Roman" w:cs="Times New Roman"/>
                <w:sz w:val="24"/>
                <w:szCs w:val="24"/>
                <w:lang w:val="en-US" w:eastAsia="zh-CN"/>
              </w:rPr>
            </w:pPr>
          </w:p>
          <w:p w14:paraId="2EE38E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rightChars="0"/>
              <w:jc w:val="left"/>
              <w:textAlignment w:val="auto"/>
              <w:outlineLvl w:val="9"/>
              <w:rPr>
                <w:rFonts w:hint="eastAsia" w:ascii="Times New Roman" w:hAnsi="Times New Roman" w:cs="Times New Roman"/>
                <w:sz w:val="24"/>
                <w:szCs w:val="24"/>
                <w:lang w:val="en-US" w:eastAsia="zh-CN"/>
              </w:rPr>
            </w:pPr>
          </w:p>
          <w:p w14:paraId="6E5388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rightChars="0"/>
              <w:jc w:val="left"/>
              <w:textAlignment w:val="auto"/>
              <w:outlineLvl w:val="9"/>
              <w:rPr>
                <w:rFonts w:hint="eastAsia" w:ascii="Times New Roman" w:hAnsi="Times New Roman" w:cs="Times New Roman"/>
                <w:sz w:val="24"/>
                <w:szCs w:val="24"/>
                <w:lang w:val="en-US" w:eastAsia="zh-CN"/>
              </w:rPr>
            </w:pPr>
          </w:p>
          <w:p w14:paraId="242587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rightChars="0"/>
              <w:jc w:val="left"/>
              <w:textAlignment w:val="auto"/>
              <w:outlineLvl w:val="9"/>
              <w:rPr>
                <w:rFonts w:hint="eastAsia" w:ascii="Times New Roman" w:hAnsi="Times New Roman" w:cs="Times New Roman"/>
                <w:sz w:val="24"/>
                <w:szCs w:val="24"/>
                <w:lang w:val="en-US" w:eastAsia="zh-CN"/>
              </w:rPr>
            </w:pPr>
          </w:p>
          <w:p w14:paraId="5CD0C8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rightChars="0"/>
              <w:jc w:val="left"/>
              <w:textAlignment w:val="auto"/>
              <w:outlineLvl w:val="9"/>
              <w:rPr>
                <w:rFonts w:hint="default" w:ascii="Times New Roman" w:hAnsi="Times New Roman" w:eastAsia="微软雅黑" w:cs="Times New Roman"/>
                <w:sz w:val="24"/>
                <w:szCs w:val="24"/>
                <w:lang w:val="en-US" w:eastAsia="zh-CN"/>
              </w:rPr>
            </w:pPr>
          </w:p>
        </w:tc>
      </w:tr>
    </w:tbl>
    <w:p w14:paraId="0C85AA97">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209E90CD">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表五</w:t>
      </w:r>
    </w:p>
    <w:tbl>
      <w:tblPr>
        <w:tblStyle w:val="17"/>
        <w:tblpPr w:leftFromText="180" w:rightFromText="180" w:vertAnchor="text" w:tblpXSpec="center" w:tblpY="1"/>
        <w:tblOverlap w:val="never"/>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14:paraId="790BF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308" w:hRule="atLeast"/>
        </w:trPr>
        <w:tc>
          <w:tcPr>
            <w:tcW w:w="9288" w:type="dxa"/>
            <w:vAlign w:val="top"/>
          </w:tcPr>
          <w:p w14:paraId="7EA45F6F">
            <w:pPr>
              <w:pStyle w:val="4"/>
              <w:keepNext/>
              <w:keepLines/>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520" w:lineRule="exact"/>
              <w:ind w:left="0" w:right="0"/>
              <w:textAlignment w:val="auto"/>
              <w:outlineLvl w:val="3"/>
              <w:rPr>
                <w:rFonts w:hint="default" w:ascii="Times New Roman" w:hAnsi="Times New Roman" w:cs="Times New Roman" w:eastAsiaTheme="minorEastAsia"/>
                <w:b/>
                <w:bCs w:val="0"/>
                <w:sz w:val="24"/>
                <w:szCs w:val="24"/>
                <w:lang w:val="en-US" w:eastAsia="zh-CN" w:bidi="ar-SA"/>
              </w:rPr>
            </w:pPr>
            <w:r>
              <w:rPr>
                <w:rFonts w:hint="default" w:ascii="Times New Roman" w:hAnsi="Times New Roman" w:cs="Times New Roman" w:eastAsiaTheme="minorEastAsia"/>
                <w:b/>
                <w:bCs w:val="0"/>
                <w:sz w:val="24"/>
                <w:szCs w:val="24"/>
                <w:lang w:val="en-US" w:eastAsia="zh-CN" w:bidi="ar-SA"/>
              </w:rPr>
              <w:t>验收</w:t>
            </w:r>
            <w:r>
              <w:rPr>
                <w:rFonts w:hint="eastAsia" w:cs="Times New Roman" w:eastAsiaTheme="minorEastAsia"/>
                <w:b/>
                <w:bCs w:val="0"/>
                <w:sz w:val="24"/>
                <w:szCs w:val="24"/>
                <w:lang w:val="en-US" w:eastAsia="zh-CN" w:bidi="ar-SA"/>
              </w:rPr>
              <w:t>检测</w:t>
            </w:r>
            <w:r>
              <w:rPr>
                <w:rFonts w:hint="default" w:ascii="Times New Roman" w:hAnsi="Times New Roman" w:cs="Times New Roman" w:eastAsiaTheme="minorEastAsia"/>
                <w:b/>
                <w:bCs w:val="0"/>
                <w:sz w:val="24"/>
                <w:szCs w:val="24"/>
                <w:lang w:val="en-US" w:eastAsia="zh-CN" w:bidi="ar-SA"/>
              </w:rPr>
              <w:t>质量保证及质量控制：</w:t>
            </w:r>
          </w:p>
          <w:p w14:paraId="0A478C3D">
            <w:pPr>
              <w:pStyle w:val="3"/>
              <w:keepNext/>
              <w:keepLines/>
              <w:pageBreakBefore w:val="0"/>
              <w:widowControl/>
              <w:suppressLineNumbers w:val="0"/>
              <w:kinsoku/>
              <w:wordWrap/>
              <w:overflowPunct/>
              <w:topLinePunct w:val="0"/>
              <w:autoSpaceDE/>
              <w:autoSpaceDN/>
              <w:bidi w:val="0"/>
              <w:adjustRightInd/>
              <w:snapToGrid/>
              <w:spacing w:before="0" w:beforeLines="0" w:after="0" w:line="520" w:lineRule="exact"/>
              <w:ind w:left="0" w:right="0"/>
              <w:textAlignment w:val="auto"/>
              <w:outlineLvl w:val="2"/>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1、质量保证及质量控制</w:t>
            </w:r>
          </w:p>
          <w:p w14:paraId="134800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本次验收监测委托</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河南中碳应用监测技术有限公司</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进行。</w:t>
            </w:r>
          </w:p>
          <w:p w14:paraId="7228C5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河南中碳应用监测技术有限公司</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具备检测机构资质认定证书，见附件。</w:t>
            </w:r>
          </w:p>
          <w:p w14:paraId="590B3B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sz w:val="24"/>
                <w:szCs w:val="24"/>
                <w:lang w:eastAsia="zh-CN"/>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检测人员：参加检测人员均经过部门组织的培训、考试合格持证上岗。</w:t>
            </w:r>
          </w:p>
          <w:p w14:paraId="0A1F45B1">
            <w:pPr>
              <w:pStyle w:val="3"/>
              <w:keepNext/>
              <w:keepLines/>
              <w:pageBreakBefore w:val="0"/>
              <w:widowControl/>
              <w:suppressLineNumbers w:val="0"/>
              <w:kinsoku/>
              <w:wordWrap/>
              <w:overflowPunct/>
              <w:topLinePunct w:val="0"/>
              <w:autoSpaceDE/>
              <w:autoSpaceDN/>
              <w:bidi w:val="0"/>
              <w:adjustRightInd/>
              <w:snapToGrid/>
              <w:spacing w:before="0" w:beforeLines="0" w:after="0" w:line="520" w:lineRule="exact"/>
              <w:ind w:left="0" w:right="0"/>
              <w:textAlignment w:val="auto"/>
              <w:outlineLvl w:val="2"/>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w:t>
            </w:r>
            <w:r>
              <w:rPr>
                <w:rFonts w:hint="eastAsia" w:cs="Times New Roman" w:eastAsiaTheme="minorEastAsia"/>
                <w:sz w:val="24"/>
                <w:szCs w:val="24"/>
                <w:lang w:val="en-US" w:eastAsia="zh-CN"/>
              </w:rPr>
              <w:t>废气检测</w:t>
            </w:r>
            <w:r>
              <w:rPr>
                <w:rFonts w:hint="default" w:ascii="Times New Roman" w:hAnsi="Times New Roman" w:cs="Times New Roman" w:eastAsiaTheme="minorEastAsia"/>
                <w:sz w:val="24"/>
                <w:szCs w:val="24"/>
                <w:lang w:val="en-US" w:eastAsia="zh-CN"/>
              </w:rPr>
              <w:t>分析过程中的质量保证和质量控制</w:t>
            </w:r>
          </w:p>
          <w:p w14:paraId="1688184D">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所有检测项目按国家有关规定及质控要求进行质量控制</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5046C46F">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（2）检测分析方法采用国家颁布的标准（或推荐）分析方法，检测人员经过考核并持有合格证书</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，所有检测仪器均在有效检定期内，并参照有关计量检定规程定期校验和维护</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61BBC321">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样品交接与分析过程严格按照监测技术规范进行</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3310BA2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eastAsia" w:ascii="Times New Roman" w:hAnsi="Times New Roman" w:eastAsia="微软雅黑" w:cs="Times New Roman"/>
                <w:sz w:val="24"/>
                <w:szCs w:val="24"/>
                <w:lang w:val="en-US" w:eastAsia="zh-CN"/>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检测数据严格实行三级审核</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3A65D8D7">
            <w:pPr>
              <w:keepNext w:val="0"/>
              <w:keepLines w:val="0"/>
              <w:pageBreakBefore w:val="0"/>
              <w:widowControl w:val="0"/>
              <w:suppressLineNumbers w:val="0"/>
              <w:kinsoku/>
              <w:wordWrap/>
              <w:overflowPunct/>
              <w:topLinePunct w:val="0"/>
              <w:autoSpaceDE/>
              <w:autoSpaceDN/>
              <w:bidi w:val="0"/>
              <w:adjustRightInd/>
              <w:snapToGrid/>
              <w:spacing w:beforeAutospacing="0" w:after="0" w:afterLines="0" w:afterAutospacing="0" w:line="520" w:lineRule="exact"/>
              <w:ind w:left="0" w:leftChars="0" w:right="0" w:rightChars="0"/>
              <w:jc w:val="both"/>
              <w:textAlignment w:val="auto"/>
              <w:outlineLvl w:val="9"/>
              <w:rPr>
                <w:rFonts w:hint="default" w:ascii="Times New Roman" w:hAnsi="Times New Roman" w:cs="Times New Roman" w:eastAsiaTheme="minorEastAsia"/>
                <w:b/>
                <w:sz w:val="24"/>
                <w:szCs w:val="24"/>
                <w:lang w:val="en-US" w:eastAsia="zh-CN" w:bidi="ar-SA"/>
              </w:rPr>
            </w:pPr>
            <w:r>
              <w:rPr>
                <w:rFonts w:hint="default" w:ascii="Times New Roman" w:hAnsi="Times New Roman" w:cs="Times New Roman" w:eastAsiaTheme="minorEastAsia"/>
                <w:b/>
                <w:sz w:val="24"/>
                <w:szCs w:val="24"/>
                <w:lang w:val="en-US" w:eastAsia="zh-CN" w:bidi="ar-SA"/>
              </w:rPr>
              <w:t>3、噪声</w:t>
            </w:r>
            <w:r>
              <w:rPr>
                <w:rFonts w:hint="eastAsia" w:ascii="Times New Roman" w:hAnsi="Times New Roman" w:cs="Times New Roman" w:eastAsiaTheme="minorEastAsia"/>
                <w:b/>
                <w:sz w:val="24"/>
                <w:szCs w:val="24"/>
                <w:lang w:val="en-US" w:eastAsia="zh-CN" w:bidi="ar-SA"/>
              </w:rPr>
              <w:t>检测</w:t>
            </w:r>
            <w:r>
              <w:rPr>
                <w:rFonts w:hint="default" w:ascii="Times New Roman" w:hAnsi="Times New Roman" w:cs="Times New Roman" w:eastAsiaTheme="minorEastAsia"/>
                <w:b/>
                <w:sz w:val="24"/>
                <w:szCs w:val="24"/>
                <w:lang w:val="en-US" w:eastAsia="zh-CN" w:bidi="ar-SA"/>
              </w:rPr>
              <w:t>分析过程中的质量保证和质量控制</w:t>
            </w:r>
          </w:p>
          <w:p w14:paraId="48348331">
            <w:pPr>
              <w:pStyle w:val="2"/>
              <w:keepNext/>
              <w:keepLines/>
              <w:pageBreakBefore w:val="0"/>
              <w:widowControl/>
              <w:kinsoku/>
              <w:wordWrap/>
              <w:overflowPunct/>
              <w:topLinePunct w:val="0"/>
              <w:autoSpaceDE/>
              <w:autoSpaceDN/>
              <w:bidi w:val="0"/>
              <w:adjustRightInd/>
              <w:snapToGrid/>
              <w:spacing w:before="0" w:beforeLines="0" w:after="0" w:afterLines="0" w:line="520" w:lineRule="exact"/>
              <w:ind w:left="0" w:leftChars="0" w:right="0" w:rightChars="0" w:firstLine="480" w:firstLineChars="200"/>
              <w:jc w:val="left"/>
              <w:textAlignment w:val="auto"/>
              <w:outlineLvl w:val="0"/>
              <w:rPr>
                <w:rFonts w:hint="eastAsia" w:ascii="Times New Roman" w:hAnsi="Times New Roman" w:cs="Times New Roman" w:eastAsiaTheme="minorEastAsia"/>
                <w:b w:val="0"/>
                <w:kern w:val="0"/>
                <w:sz w:val="24"/>
                <w:szCs w:val="24"/>
                <w:lang w:val="en-US" w:eastAsia="zh-CN" w:bidi="ar-SA"/>
              </w:rPr>
            </w:pPr>
            <w:r>
              <w:rPr>
                <w:rFonts w:hint="default" w:ascii="Times New Roman" w:hAnsi="Times New Roman" w:cs="Times New Roman" w:eastAsiaTheme="minorEastAsia"/>
                <w:b w:val="0"/>
                <w:kern w:val="0"/>
                <w:sz w:val="24"/>
                <w:szCs w:val="24"/>
                <w:lang w:val="en-US" w:eastAsia="zh-CN" w:bidi="ar-SA"/>
              </w:rPr>
              <w:t>声级计使用前后进行校准，其示值偏差符合监测技术规范要求（ΔL≤0.5dB</w:t>
            </w:r>
            <w:r>
              <w:rPr>
                <w:rFonts w:hint="eastAsia" w:ascii="Times New Roman" w:hAnsi="Times New Roman" w:cs="Times New Roman" w:eastAsiaTheme="minorEastAsia"/>
                <w:b w:val="0"/>
                <w:kern w:val="0"/>
                <w:sz w:val="24"/>
                <w:szCs w:val="24"/>
                <w:lang w:val="en-US" w:eastAsia="zh-CN" w:bidi="ar-SA"/>
              </w:rPr>
              <w:t>（</w:t>
            </w:r>
            <w:r>
              <w:rPr>
                <w:rFonts w:hint="default" w:ascii="Times New Roman" w:hAnsi="Times New Roman" w:cs="Times New Roman" w:eastAsiaTheme="minorEastAsia"/>
                <w:b w:val="0"/>
                <w:kern w:val="0"/>
                <w:sz w:val="24"/>
                <w:szCs w:val="24"/>
                <w:lang w:val="en-US" w:eastAsia="zh-CN" w:bidi="ar-SA"/>
              </w:rPr>
              <w:t>A</w:t>
            </w:r>
            <w:r>
              <w:rPr>
                <w:rFonts w:hint="eastAsia" w:ascii="Times New Roman" w:hAnsi="Times New Roman" w:cs="Times New Roman" w:eastAsiaTheme="minorEastAsia"/>
                <w:b w:val="0"/>
                <w:kern w:val="0"/>
                <w:sz w:val="24"/>
                <w:szCs w:val="24"/>
                <w:lang w:val="en-US" w:eastAsia="zh-CN" w:bidi="ar-SA"/>
              </w:rPr>
              <w:t>）</w:t>
            </w:r>
            <w:r>
              <w:rPr>
                <w:rFonts w:hint="default" w:ascii="Times New Roman" w:hAnsi="Times New Roman" w:cs="Times New Roman" w:eastAsiaTheme="minorEastAsia"/>
                <w:b w:val="0"/>
                <w:kern w:val="0"/>
                <w:sz w:val="24"/>
                <w:szCs w:val="24"/>
                <w:lang w:val="en-US" w:eastAsia="zh-CN" w:bidi="ar-SA"/>
              </w:rPr>
              <w:t>）。噪声检测在无雨、无雪、风速小于5m/s的气象条件下进行，测量时传声器加戴防风罩</w:t>
            </w:r>
            <w:r>
              <w:rPr>
                <w:rFonts w:hint="eastAsia" w:ascii="Times New Roman" w:hAnsi="Times New Roman" w:cs="Times New Roman" w:eastAsiaTheme="minorEastAsia"/>
                <w:b w:val="0"/>
                <w:kern w:val="0"/>
                <w:sz w:val="24"/>
                <w:szCs w:val="24"/>
                <w:lang w:val="en-US" w:eastAsia="zh-CN" w:bidi="ar-SA"/>
              </w:rPr>
              <w:t>。</w:t>
            </w:r>
          </w:p>
          <w:p w14:paraId="733FA6FF">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p>
          <w:p w14:paraId="6C7FF4F3">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p>
          <w:p w14:paraId="28C3FCAD">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p>
          <w:p w14:paraId="3C7DA3F8">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p>
          <w:p w14:paraId="4FB8D11E">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p>
          <w:p w14:paraId="78850676">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p>
          <w:p w14:paraId="11E22F82">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p>
          <w:p w14:paraId="6E1C6A1D">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p>
          <w:p w14:paraId="70AB4AB9">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p>
          <w:p w14:paraId="464C4A12">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p>
          <w:p w14:paraId="1A2BAA69">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11   检测方法</w:t>
            </w:r>
            <w:r>
              <w:rPr>
                <w:rFonts w:hint="default" w:ascii="Times New Roman" w:hAnsi="Times New Roman" w:cs="Times New Roman" w:eastAsiaTheme="minorEastAsia"/>
                <w:b/>
                <w:bCs/>
                <w:color w:val="auto"/>
                <w:kern w:val="2"/>
                <w:sz w:val="24"/>
                <w:szCs w:val="24"/>
                <w:lang w:val="en-US" w:eastAsia="zh-CN" w:bidi="ar-SA"/>
              </w:rPr>
              <w:t>一览表</w:t>
            </w:r>
          </w:p>
          <w:tbl>
            <w:tblPr>
              <w:tblStyle w:val="17"/>
              <w:tblW w:w="9318"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6"/>
              <w:gridCol w:w="1291"/>
              <w:gridCol w:w="3126"/>
              <w:gridCol w:w="2956"/>
              <w:gridCol w:w="1469"/>
            </w:tblGrid>
            <w:tr w14:paraId="17C37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tblHeader/>
              </w:trPr>
              <w:tc>
                <w:tcPr>
                  <w:tcW w:w="476" w:type="dxa"/>
                  <w:noWrap w:val="0"/>
                  <w:vAlign w:val="center"/>
                </w:tcPr>
                <w:p w14:paraId="3A2AA55C">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bCs w:val="0"/>
                      <w:color w:val="auto"/>
                      <w:sz w:val="21"/>
                      <w:szCs w:val="21"/>
                    </w:rPr>
                  </w:pPr>
                  <w:r>
                    <w:rPr>
                      <w:rFonts w:hint="default" w:ascii="Times New Roman" w:hAnsi="Times New Roman" w:cs="Times New Roman" w:eastAsiaTheme="minorEastAsia"/>
                      <w:b/>
                      <w:bCs w:val="0"/>
                      <w:color w:val="auto"/>
                      <w:sz w:val="21"/>
                      <w:szCs w:val="21"/>
                    </w:rPr>
                    <w:t>序号</w:t>
                  </w:r>
                </w:p>
              </w:tc>
              <w:tc>
                <w:tcPr>
                  <w:tcW w:w="1291" w:type="dxa"/>
                  <w:noWrap w:val="0"/>
                  <w:vAlign w:val="center"/>
                </w:tcPr>
                <w:p w14:paraId="594A2CCA">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bCs w:val="0"/>
                      <w:color w:val="auto"/>
                      <w:sz w:val="21"/>
                      <w:szCs w:val="21"/>
                    </w:rPr>
                  </w:pPr>
                  <w:r>
                    <w:rPr>
                      <w:rFonts w:hint="default" w:ascii="Times New Roman" w:hAnsi="Times New Roman" w:cs="Times New Roman" w:eastAsiaTheme="minorEastAsia"/>
                      <w:b/>
                      <w:bCs w:val="0"/>
                      <w:color w:val="auto"/>
                      <w:sz w:val="21"/>
                      <w:szCs w:val="21"/>
                    </w:rPr>
                    <w:t>项目</w:t>
                  </w:r>
                </w:p>
              </w:tc>
              <w:tc>
                <w:tcPr>
                  <w:tcW w:w="3126" w:type="dxa"/>
                  <w:noWrap w:val="0"/>
                  <w:vAlign w:val="center"/>
                </w:tcPr>
                <w:p w14:paraId="19FCA116">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bCs w:val="0"/>
                      <w:color w:val="auto"/>
                      <w:sz w:val="21"/>
                      <w:szCs w:val="21"/>
                    </w:rPr>
                  </w:pPr>
                  <w:r>
                    <w:rPr>
                      <w:rFonts w:hint="default" w:ascii="Times New Roman" w:hAnsi="Times New Roman" w:cs="Times New Roman" w:eastAsiaTheme="minorEastAsia"/>
                      <w:b/>
                      <w:bCs w:val="0"/>
                      <w:color w:val="auto"/>
                      <w:sz w:val="21"/>
                      <w:szCs w:val="21"/>
                      <w:lang w:eastAsia="zh-CN"/>
                    </w:rPr>
                    <w:t>检</w:t>
                  </w:r>
                  <w:r>
                    <w:rPr>
                      <w:rFonts w:hint="default" w:ascii="Times New Roman" w:hAnsi="Times New Roman" w:cs="Times New Roman" w:eastAsiaTheme="minorEastAsia"/>
                      <w:b/>
                      <w:bCs w:val="0"/>
                      <w:color w:val="auto"/>
                      <w:sz w:val="21"/>
                      <w:szCs w:val="21"/>
                    </w:rPr>
                    <w:t>测分析方法</w:t>
                  </w:r>
                </w:p>
              </w:tc>
              <w:tc>
                <w:tcPr>
                  <w:tcW w:w="2956" w:type="dxa"/>
                  <w:noWrap w:val="0"/>
                  <w:vAlign w:val="center"/>
                </w:tcPr>
                <w:p w14:paraId="0E83A82C">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bCs w:val="0"/>
                      <w:color w:val="auto"/>
                      <w:sz w:val="21"/>
                      <w:szCs w:val="21"/>
                    </w:rPr>
                  </w:pPr>
                  <w:r>
                    <w:rPr>
                      <w:rFonts w:hint="default" w:ascii="Times New Roman" w:hAnsi="Times New Roman" w:cs="Times New Roman" w:eastAsiaTheme="minorEastAsia"/>
                      <w:b/>
                      <w:bCs w:val="0"/>
                      <w:color w:val="auto"/>
                      <w:sz w:val="21"/>
                      <w:szCs w:val="21"/>
                      <w:lang w:eastAsia="zh-CN"/>
                    </w:rPr>
                    <w:t>主要检</w:t>
                  </w:r>
                  <w:r>
                    <w:rPr>
                      <w:rFonts w:hint="default" w:ascii="Times New Roman" w:hAnsi="Times New Roman" w:cs="Times New Roman" w:eastAsiaTheme="minorEastAsia"/>
                      <w:b/>
                      <w:bCs w:val="0"/>
                      <w:color w:val="auto"/>
                      <w:sz w:val="21"/>
                      <w:szCs w:val="21"/>
                    </w:rPr>
                    <w:t>测分析仪器</w:t>
                  </w:r>
                  <w:r>
                    <w:rPr>
                      <w:rFonts w:hint="default" w:ascii="Times New Roman" w:hAnsi="Times New Roman" w:cs="Times New Roman" w:eastAsiaTheme="minorEastAsia"/>
                      <w:b/>
                      <w:bCs w:val="0"/>
                      <w:color w:val="auto"/>
                      <w:sz w:val="21"/>
                      <w:szCs w:val="21"/>
                      <w:lang w:eastAsia="zh-CN"/>
                    </w:rPr>
                    <w:t>型号</w:t>
                  </w:r>
                  <w:r>
                    <w:rPr>
                      <w:rFonts w:hint="default" w:ascii="Times New Roman" w:hAnsi="Times New Roman" w:cs="Times New Roman" w:eastAsiaTheme="minorEastAsia"/>
                      <w:b/>
                      <w:bCs w:val="0"/>
                      <w:color w:val="auto"/>
                      <w:sz w:val="21"/>
                      <w:szCs w:val="21"/>
                    </w:rPr>
                    <w:t>及编号</w:t>
                  </w:r>
                </w:p>
              </w:tc>
              <w:tc>
                <w:tcPr>
                  <w:tcW w:w="1469" w:type="dxa"/>
                  <w:noWrap w:val="0"/>
                  <w:vAlign w:val="center"/>
                </w:tcPr>
                <w:p w14:paraId="6B89A722">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bCs w:val="0"/>
                      <w:color w:val="auto"/>
                      <w:sz w:val="21"/>
                      <w:szCs w:val="21"/>
                    </w:rPr>
                  </w:pPr>
                  <w:r>
                    <w:rPr>
                      <w:rFonts w:hint="default" w:ascii="Times New Roman" w:hAnsi="Times New Roman" w:cs="Times New Roman" w:eastAsiaTheme="minorEastAsia"/>
                      <w:b/>
                      <w:bCs w:val="0"/>
                      <w:color w:val="auto"/>
                      <w:sz w:val="21"/>
                      <w:szCs w:val="21"/>
                    </w:rPr>
                    <w:t>检出限</w:t>
                  </w:r>
                  <w:r>
                    <w:rPr>
                      <w:rFonts w:hint="default" w:ascii="Times New Roman" w:hAnsi="Times New Roman" w:cs="Times New Roman" w:eastAsiaTheme="minorEastAsia"/>
                      <w:b/>
                      <w:bCs w:val="0"/>
                      <w:color w:val="auto"/>
                      <w:sz w:val="21"/>
                      <w:szCs w:val="21"/>
                      <w:lang w:val="en-US" w:eastAsia="zh-CN"/>
                    </w:rPr>
                    <w:t>或最低检出浓度</w:t>
                  </w:r>
                  <w:r>
                    <w:rPr>
                      <w:rFonts w:hint="default" w:ascii="Times New Roman" w:hAnsi="Times New Roman" w:cs="Times New Roman" w:eastAsiaTheme="minorEastAsia"/>
                      <w:b/>
                      <w:bCs w:val="0"/>
                      <w:color w:val="auto"/>
                      <w:sz w:val="21"/>
                      <w:szCs w:val="21"/>
                    </w:rPr>
                    <w:t>（mg/L）</w:t>
                  </w:r>
                </w:p>
              </w:tc>
            </w:tr>
            <w:tr w14:paraId="44C04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476" w:type="dxa"/>
                  <w:noWrap w:val="0"/>
                  <w:vAlign w:val="center"/>
                </w:tcPr>
                <w:p w14:paraId="0FD43B3A">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1</w:t>
                  </w:r>
                </w:p>
              </w:tc>
              <w:tc>
                <w:tcPr>
                  <w:tcW w:w="1291" w:type="dxa"/>
                  <w:noWrap w:val="0"/>
                  <w:vAlign w:val="center"/>
                </w:tcPr>
                <w:p w14:paraId="4AC17DA5">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氨氮</w:t>
                  </w:r>
                </w:p>
              </w:tc>
              <w:tc>
                <w:tcPr>
                  <w:tcW w:w="3126" w:type="dxa"/>
                  <w:noWrap w:val="0"/>
                  <w:vAlign w:val="center"/>
                </w:tcPr>
                <w:p w14:paraId="52B32089">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水质 氨氮的测定  纳氏试剂分光光度法 HJ 535-2009</w:t>
                  </w:r>
                </w:p>
              </w:tc>
              <w:tc>
                <w:tcPr>
                  <w:tcW w:w="2956" w:type="dxa"/>
                  <w:noWrap w:val="0"/>
                  <w:vAlign w:val="center"/>
                </w:tcPr>
                <w:p w14:paraId="4584F6CD">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紫外可见分光光度计 TU-1810PC</w:t>
                  </w:r>
                </w:p>
              </w:tc>
              <w:tc>
                <w:tcPr>
                  <w:tcW w:w="1469" w:type="dxa"/>
                  <w:noWrap w:val="0"/>
                  <w:vAlign w:val="center"/>
                </w:tcPr>
                <w:p w14:paraId="419CAD4D">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0.025mg/L</w:t>
                  </w:r>
                </w:p>
              </w:tc>
            </w:tr>
            <w:tr w14:paraId="37C5C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rPr>
              <w:tc>
                <w:tcPr>
                  <w:tcW w:w="476" w:type="dxa"/>
                  <w:noWrap w:val="0"/>
                  <w:vAlign w:val="center"/>
                </w:tcPr>
                <w:p w14:paraId="34684BDE">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color w:val="auto"/>
                      <w:sz w:val="21"/>
                      <w:szCs w:val="21"/>
                      <w:lang w:val="en-US" w:eastAsia="zh-CN" w:bidi="ar-SA"/>
                    </w:rPr>
                  </w:pPr>
                  <w:r>
                    <w:rPr>
                      <w:rFonts w:hint="default" w:ascii="Times New Roman" w:hAnsi="Times New Roman" w:cs="Times New Roman" w:eastAsiaTheme="minorEastAsia"/>
                      <w:b w:val="0"/>
                      <w:bCs/>
                      <w:color w:val="auto"/>
                      <w:sz w:val="21"/>
                      <w:szCs w:val="21"/>
                      <w:lang w:val="en-US" w:eastAsia="zh-CN" w:bidi="ar-SA"/>
                    </w:rPr>
                    <w:t>2</w:t>
                  </w:r>
                </w:p>
              </w:tc>
              <w:tc>
                <w:tcPr>
                  <w:tcW w:w="1291" w:type="dxa"/>
                  <w:noWrap w:val="0"/>
                  <w:vAlign w:val="center"/>
                </w:tcPr>
                <w:p w14:paraId="2E085EB8">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化学需氧量</w:t>
                  </w:r>
                </w:p>
              </w:tc>
              <w:tc>
                <w:tcPr>
                  <w:tcW w:w="3126" w:type="dxa"/>
                  <w:noWrap w:val="0"/>
                  <w:vAlign w:val="center"/>
                </w:tcPr>
                <w:p w14:paraId="2DEE4632">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 xml:space="preserve">水质 化学需氧量的测定 重铬酸盐法 </w:t>
                  </w:r>
                </w:p>
                <w:p w14:paraId="500C2AC0">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HJ 828-2017</w:t>
                  </w:r>
                </w:p>
              </w:tc>
              <w:tc>
                <w:tcPr>
                  <w:tcW w:w="2956" w:type="dxa"/>
                  <w:noWrap w:val="0"/>
                  <w:vAlign w:val="center"/>
                </w:tcPr>
                <w:p w14:paraId="4269F1EF">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酸式滴定管</w:t>
                  </w:r>
                </w:p>
              </w:tc>
              <w:tc>
                <w:tcPr>
                  <w:tcW w:w="1469" w:type="dxa"/>
                  <w:noWrap w:val="0"/>
                  <w:vAlign w:val="center"/>
                </w:tcPr>
                <w:p w14:paraId="1D57B94F">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4mg/L</w:t>
                  </w:r>
                </w:p>
              </w:tc>
            </w:tr>
            <w:tr w14:paraId="7145B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476" w:type="dxa"/>
                  <w:noWrap w:val="0"/>
                  <w:vAlign w:val="center"/>
                </w:tcPr>
                <w:p w14:paraId="7C7E46CB">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Cs/>
                      <w:color w:val="auto"/>
                      <w:sz w:val="21"/>
                      <w:szCs w:val="21"/>
                      <w:lang w:val="en-US" w:eastAsia="zh-CN" w:bidi="ar-SA"/>
                    </w:rPr>
                  </w:pPr>
                  <w:r>
                    <w:rPr>
                      <w:rFonts w:hint="default" w:ascii="Times New Roman" w:hAnsi="Times New Roman" w:cs="Times New Roman" w:eastAsiaTheme="minorEastAsia"/>
                      <w:bCs/>
                      <w:color w:val="auto"/>
                      <w:sz w:val="21"/>
                      <w:szCs w:val="21"/>
                      <w:lang w:val="en-US" w:eastAsia="zh-CN"/>
                    </w:rPr>
                    <w:t>3</w:t>
                  </w:r>
                </w:p>
              </w:tc>
              <w:tc>
                <w:tcPr>
                  <w:tcW w:w="1291" w:type="dxa"/>
                  <w:noWrap w:val="0"/>
                  <w:vAlign w:val="center"/>
                </w:tcPr>
                <w:p w14:paraId="26E154A6">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总氮</w:t>
                  </w:r>
                </w:p>
              </w:tc>
              <w:tc>
                <w:tcPr>
                  <w:tcW w:w="3126" w:type="dxa"/>
                  <w:noWrap w:val="0"/>
                  <w:vAlign w:val="center"/>
                </w:tcPr>
                <w:p w14:paraId="0441E25D">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水质 总氮的测定 碱性过硫酸钾消解紫外分光光度法   HJ 636-2012</w:t>
                  </w:r>
                </w:p>
              </w:tc>
              <w:tc>
                <w:tcPr>
                  <w:tcW w:w="2956" w:type="dxa"/>
                  <w:noWrap w:val="0"/>
                  <w:vAlign w:val="center"/>
                </w:tcPr>
                <w:p w14:paraId="3F837504">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紫外可见分光度计TU-1810PC</w:t>
                  </w:r>
                </w:p>
              </w:tc>
              <w:tc>
                <w:tcPr>
                  <w:tcW w:w="1469" w:type="dxa"/>
                  <w:noWrap w:val="0"/>
                  <w:vAlign w:val="center"/>
                </w:tcPr>
                <w:p w14:paraId="6A59443E">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0.05mg/L</w:t>
                  </w:r>
                </w:p>
              </w:tc>
            </w:tr>
            <w:tr w14:paraId="5CD01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476" w:type="dxa"/>
                  <w:noWrap w:val="0"/>
                  <w:vAlign w:val="center"/>
                </w:tcPr>
                <w:p w14:paraId="3824E927">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4</w:t>
                  </w:r>
                </w:p>
              </w:tc>
              <w:tc>
                <w:tcPr>
                  <w:tcW w:w="1291" w:type="dxa"/>
                  <w:noWrap w:val="0"/>
                  <w:vAlign w:val="center"/>
                </w:tcPr>
                <w:p w14:paraId="4FF9D602">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总磷</w:t>
                  </w:r>
                </w:p>
              </w:tc>
              <w:tc>
                <w:tcPr>
                  <w:tcW w:w="3126" w:type="dxa"/>
                  <w:noWrap w:val="0"/>
                  <w:vAlign w:val="center"/>
                </w:tcPr>
                <w:p w14:paraId="4E800224">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水质 总磷的测定 钼酸铵分光光度法</w:t>
                  </w:r>
                </w:p>
                <w:p w14:paraId="23E81E18">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GB/T 11893-1989</w:t>
                  </w:r>
                </w:p>
              </w:tc>
              <w:tc>
                <w:tcPr>
                  <w:tcW w:w="2956" w:type="dxa"/>
                  <w:noWrap w:val="0"/>
                  <w:vAlign w:val="center"/>
                </w:tcPr>
                <w:p w14:paraId="070475BC">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紫外可见分光度计TU-1810PC</w:t>
                  </w:r>
                </w:p>
              </w:tc>
              <w:tc>
                <w:tcPr>
                  <w:tcW w:w="1469" w:type="dxa"/>
                  <w:noWrap w:val="0"/>
                  <w:vAlign w:val="center"/>
                </w:tcPr>
                <w:p w14:paraId="028FD8B4">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0.01mg/L</w:t>
                  </w:r>
                </w:p>
              </w:tc>
            </w:tr>
            <w:tr w14:paraId="7A6CA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476" w:type="dxa"/>
                  <w:noWrap w:val="0"/>
                  <w:vAlign w:val="center"/>
                </w:tcPr>
                <w:p w14:paraId="4AF879AB">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5</w:t>
                  </w:r>
                </w:p>
              </w:tc>
              <w:tc>
                <w:tcPr>
                  <w:tcW w:w="1291" w:type="dxa"/>
                  <w:noWrap w:val="0"/>
                  <w:vAlign w:val="center"/>
                </w:tcPr>
                <w:p w14:paraId="535DACC5">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悬浮物</w:t>
                  </w:r>
                </w:p>
              </w:tc>
              <w:tc>
                <w:tcPr>
                  <w:tcW w:w="3126" w:type="dxa"/>
                  <w:noWrap w:val="0"/>
                  <w:vAlign w:val="center"/>
                </w:tcPr>
                <w:p w14:paraId="6B5E8F83">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水质 悬浮物的测定 重量法GB/T 11901-1989</w:t>
                  </w:r>
                </w:p>
              </w:tc>
              <w:tc>
                <w:tcPr>
                  <w:tcW w:w="2956" w:type="dxa"/>
                  <w:noWrap w:val="0"/>
                  <w:vAlign w:val="center"/>
                </w:tcPr>
                <w:p w14:paraId="137F5F8A">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ME系列电子天平ME204E/02</w:t>
                  </w:r>
                </w:p>
              </w:tc>
              <w:tc>
                <w:tcPr>
                  <w:tcW w:w="1469" w:type="dxa"/>
                  <w:noWrap w:val="0"/>
                  <w:vAlign w:val="center"/>
                </w:tcPr>
                <w:p w14:paraId="2469E9DA">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w:t>
                  </w:r>
                </w:p>
              </w:tc>
            </w:tr>
            <w:tr w14:paraId="4EBE2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rPr>
              <w:tc>
                <w:tcPr>
                  <w:tcW w:w="476" w:type="dxa"/>
                  <w:noWrap w:val="0"/>
                  <w:vAlign w:val="center"/>
                </w:tcPr>
                <w:p w14:paraId="34103C96">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6</w:t>
                  </w:r>
                </w:p>
              </w:tc>
              <w:tc>
                <w:tcPr>
                  <w:tcW w:w="1291" w:type="dxa"/>
                  <w:noWrap w:val="0"/>
                  <w:vAlign w:val="center"/>
                </w:tcPr>
                <w:p w14:paraId="7C607026">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五日生化需氧量</w:t>
                  </w:r>
                </w:p>
              </w:tc>
              <w:tc>
                <w:tcPr>
                  <w:tcW w:w="3126" w:type="dxa"/>
                  <w:noWrap w:val="0"/>
                  <w:vAlign w:val="center"/>
                </w:tcPr>
                <w:p w14:paraId="55F7908E">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水质 五日生化需氧量（BOD5）的测定 稀释与接种法HJ 505-2009</w:t>
                  </w:r>
                </w:p>
              </w:tc>
              <w:tc>
                <w:tcPr>
                  <w:tcW w:w="2956" w:type="dxa"/>
                  <w:noWrap w:val="0"/>
                  <w:vAlign w:val="center"/>
                </w:tcPr>
                <w:p w14:paraId="50608CFD">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生化培养箱SPX-250B型</w:t>
                  </w:r>
                </w:p>
              </w:tc>
              <w:tc>
                <w:tcPr>
                  <w:tcW w:w="1469" w:type="dxa"/>
                  <w:noWrap w:val="0"/>
                  <w:vAlign w:val="center"/>
                </w:tcPr>
                <w:p w14:paraId="74BF0D4D">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0.5mg/L</w:t>
                  </w:r>
                </w:p>
              </w:tc>
            </w:tr>
            <w:tr w14:paraId="12578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476" w:type="dxa"/>
                  <w:vMerge w:val="restart"/>
                  <w:noWrap w:val="0"/>
                  <w:vAlign w:val="center"/>
                </w:tcPr>
                <w:p w14:paraId="3611EE7F">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7</w:t>
                  </w:r>
                </w:p>
              </w:tc>
              <w:tc>
                <w:tcPr>
                  <w:tcW w:w="1291" w:type="dxa"/>
                  <w:vMerge w:val="restart"/>
                  <w:noWrap w:val="0"/>
                  <w:vAlign w:val="center"/>
                </w:tcPr>
                <w:p w14:paraId="035CE3CF">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颗粒物</w:t>
                  </w:r>
                </w:p>
              </w:tc>
              <w:tc>
                <w:tcPr>
                  <w:tcW w:w="3126" w:type="dxa"/>
                  <w:noWrap w:val="0"/>
                  <w:vAlign w:val="center"/>
                </w:tcPr>
                <w:p w14:paraId="44AA8B3A">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sz w:val="21"/>
                      <w:szCs w:val="21"/>
                      <w:lang w:val="en-US" w:eastAsia="zh-CN" w:bidi="ar-SA"/>
                    </w:rPr>
                  </w:pPr>
                  <w:r>
                    <w:rPr>
                      <w:rFonts w:hint="default" w:ascii="Times New Roman" w:hAnsi="Times New Roman" w:cs="Times New Roman" w:eastAsiaTheme="minorEastAsia"/>
                      <w:color w:val="auto"/>
                      <w:sz w:val="21"/>
                      <w:szCs w:val="21"/>
                      <w:lang w:val="en-US" w:eastAsia="zh-CN"/>
                    </w:rPr>
                    <w:t>固定污染源排气中颗粒物测定与气态污染物采样方法 （ GB/T 16157-1996）及修改单</w:t>
                  </w:r>
                </w:p>
              </w:tc>
              <w:tc>
                <w:tcPr>
                  <w:tcW w:w="2956" w:type="dxa"/>
                  <w:noWrap w:val="0"/>
                  <w:vAlign w:val="center"/>
                </w:tcPr>
                <w:p w14:paraId="2BCE6532">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万分之一电子天平/FA224/JS-004</w:t>
                  </w:r>
                </w:p>
              </w:tc>
              <w:tc>
                <w:tcPr>
                  <w:tcW w:w="1469" w:type="dxa"/>
                  <w:noWrap w:val="0"/>
                  <w:vAlign w:val="center"/>
                </w:tcPr>
                <w:p w14:paraId="45DCBA81">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bidi="ar-SA"/>
                    </w:rPr>
                  </w:pPr>
                  <w:r>
                    <w:rPr>
                      <w:rFonts w:hint="default" w:ascii="Times New Roman" w:hAnsi="Times New Roman" w:cs="Times New Roman" w:eastAsiaTheme="minorEastAsia"/>
                      <w:color w:val="auto"/>
                      <w:sz w:val="21"/>
                      <w:szCs w:val="21"/>
                      <w:lang w:val="en-US" w:eastAsia="zh-CN"/>
                    </w:rPr>
                    <w:t>/</w:t>
                  </w:r>
                </w:p>
              </w:tc>
            </w:tr>
            <w:tr w14:paraId="120AA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476" w:type="dxa"/>
                  <w:vMerge w:val="continue"/>
                  <w:noWrap w:val="0"/>
                  <w:vAlign w:val="center"/>
                </w:tcPr>
                <w:p w14:paraId="74A0D8F5">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color w:val="auto"/>
                      <w:sz w:val="21"/>
                      <w:szCs w:val="21"/>
                      <w:lang w:val="en-US" w:eastAsia="zh-CN" w:bidi="ar-SA"/>
                    </w:rPr>
                  </w:pPr>
                </w:p>
              </w:tc>
              <w:tc>
                <w:tcPr>
                  <w:tcW w:w="1291" w:type="dxa"/>
                  <w:vMerge w:val="continue"/>
                  <w:noWrap w:val="0"/>
                  <w:vAlign w:val="center"/>
                </w:tcPr>
                <w:p w14:paraId="6492D859">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sz w:val="21"/>
                      <w:szCs w:val="21"/>
                    </w:rPr>
                  </w:pPr>
                </w:p>
              </w:tc>
              <w:tc>
                <w:tcPr>
                  <w:tcW w:w="3126" w:type="dxa"/>
                  <w:noWrap w:val="0"/>
                  <w:vAlign w:val="center"/>
                </w:tcPr>
                <w:p w14:paraId="1DD7B588">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固定污染源废气 低浓度颗粒物的测定  重量法 HJ 836-2017</w:t>
                  </w:r>
                </w:p>
              </w:tc>
              <w:tc>
                <w:tcPr>
                  <w:tcW w:w="2956" w:type="dxa"/>
                  <w:noWrap w:val="0"/>
                  <w:vAlign w:val="center"/>
                </w:tcPr>
                <w:p w14:paraId="7A72C52D">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highlight w:val="none"/>
                      <w:lang w:eastAsia="zh-CN"/>
                    </w:rPr>
                    <w:t>十万分之一电子天平</w:t>
                  </w:r>
                  <w:r>
                    <w:rPr>
                      <w:rFonts w:hint="default" w:ascii="Times New Roman" w:hAnsi="Times New Roman" w:cs="Times New Roman" w:eastAsiaTheme="minorEastAsia"/>
                      <w:color w:val="auto"/>
                      <w:sz w:val="21"/>
                      <w:szCs w:val="21"/>
                      <w:highlight w:val="none"/>
                      <w:lang w:val="en-US" w:eastAsia="zh-CN"/>
                    </w:rPr>
                    <w:t>/ES1035B/JS-005</w:t>
                  </w:r>
                </w:p>
              </w:tc>
              <w:tc>
                <w:tcPr>
                  <w:tcW w:w="1469" w:type="dxa"/>
                  <w:noWrap w:val="0"/>
                  <w:vAlign w:val="center"/>
                </w:tcPr>
                <w:p w14:paraId="5D291E6C">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kern w:val="0"/>
                      <w:sz w:val="21"/>
                      <w:szCs w:val="21"/>
                      <w:u w:val="none"/>
                      <w:lang w:val="en-US" w:eastAsia="zh-CN" w:bidi="ar-SA"/>
                    </w:rPr>
                    <w:t>1mg/m</w:t>
                  </w:r>
                  <w:r>
                    <w:rPr>
                      <w:rFonts w:hint="default" w:ascii="Times New Roman" w:hAnsi="Times New Roman" w:cs="Times New Roman" w:eastAsiaTheme="minorEastAsia"/>
                      <w:kern w:val="0"/>
                      <w:sz w:val="21"/>
                      <w:szCs w:val="21"/>
                      <w:u w:val="none"/>
                      <w:vertAlign w:val="superscript"/>
                      <w:lang w:val="en-US" w:eastAsia="zh-CN" w:bidi="ar-SA"/>
                    </w:rPr>
                    <w:t>3</w:t>
                  </w:r>
                </w:p>
              </w:tc>
            </w:tr>
            <w:tr w14:paraId="72963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476" w:type="dxa"/>
                  <w:vMerge w:val="restart"/>
                  <w:noWrap w:val="0"/>
                  <w:vAlign w:val="center"/>
                </w:tcPr>
                <w:p w14:paraId="6E3969FD">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color w:val="auto"/>
                      <w:sz w:val="21"/>
                      <w:szCs w:val="21"/>
                      <w:lang w:val="en-US" w:eastAsia="zh-CN" w:bidi="ar-SA"/>
                    </w:rPr>
                  </w:pPr>
                  <w:r>
                    <w:rPr>
                      <w:rFonts w:hint="default" w:ascii="Times New Roman" w:hAnsi="Times New Roman" w:cs="Times New Roman" w:eastAsiaTheme="minorEastAsia"/>
                      <w:b w:val="0"/>
                      <w:bCs/>
                      <w:color w:val="auto"/>
                      <w:sz w:val="21"/>
                      <w:szCs w:val="21"/>
                      <w:lang w:val="en-US" w:eastAsia="zh-CN" w:bidi="ar-SA"/>
                    </w:rPr>
                    <w:t>8</w:t>
                  </w:r>
                </w:p>
              </w:tc>
              <w:tc>
                <w:tcPr>
                  <w:tcW w:w="1291" w:type="dxa"/>
                  <w:vMerge w:val="restart"/>
                  <w:noWrap w:val="0"/>
                  <w:vAlign w:val="center"/>
                </w:tcPr>
                <w:p w14:paraId="20FE178E">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auto"/>
                      <w:sz w:val="21"/>
                      <w:szCs w:val="21"/>
                      <w:lang w:val="en-US" w:eastAsia="zh-CN"/>
                    </w:rPr>
                    <w:t>非甲烷总烃</w:t>
                  </w:r>
                </w:p>
              </w:tc>
              <w:tc>
                <w:tcPr>
                  <w:tcW w:w="3126" w:type="dxa"/>
                  <w:noWrap w:val="0"/>
                  <w:vAlign w:val="center"/>
                </w:tcPr>
                <w:p w14:paraId="243AEDED">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sz w:val="21"/>
                      <w:szCs w:val="21"/>
                      <w:lang w:val="en-US" w:eastAsia="zh-CN" w:bidi="ar-SA"/>
                    </w:rPr>
                  </w:pPr>
                  <w:r>
                    <w:rPr>
                      <w:rFonts w:hint="default" w:ascii="Times New Roman" w:hAnsi="Times New Roman" w:cs="Times New Roman" w:eastAsiaTheme="minorEastAsia"/>
                      <w:color w:val="auto"/>
                      <w:sz w:val="21"/>
                      <w:szCs w:val="21"/>
                      <w:lang w:val="en-US" w:eastAsia="zh-CN"/>
                    </w:rPr>
                    <w:t>固定污染源废气 总烃、甲烷和非 甲烷总烃的测定 气相色谱法   HJ 38-2017</w:t>
                  </w:r>
                </w:p>
              </w:tc>
              <w:tc>
                <w:tcPr>
                  <w:tcW w:w="2956" w:type="dxa"/>
                  <w:vMerge w:val="restart"/>
                  <w:noWrap w:val="0"/>
                  <w:vAlign w:val="center"/>
                </w:tcPr>
                <w:p w14:paraId="1D08905F">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i w:val="0"/>
                      <w:iCs w:val="0"/>
                      <w:color w:val="000000"/>
                      <w:kern w:val="0"/>
                      <w:sz w:val="21"/>
                      <w:szCs w:val="21"/>
                      <w:u w:val="none"/>
                      <w:lang w:val="en-US" w:eastAsia="zh-CN" w:bidi="ar"/>
                    </w:rPr>
                  </w:pPr>
                  <w:r>
                    <w:rPr>
                      <w:rFonts w:hint="default" w:ascii="Times New Roman" w:hAnsi="Times New Roman" w:cs="Times New Roman" w:eastAsiaTheme="minorEastAsia"/>
                      <w:i w:val="0"/>
                      <w:iCs w:val="0"/>
                      <w:color w:val="000000"/>
                      <w:kern w:val="0"/>
                      <w:sz w:val="21"/>
                      <w:szCs w:val="21"/>
                      <w:u w:val="none"/>
                      <w:lang w:val="en-US" w:eastAsia="zh-CN" w:bidi="ar"/>
                    </w:rPr>
                    <w:t>气相色谱仪/GC9790II/</w:t>
                  </w:r>
                </w:p>
                <w:p w14:paraId="62F138B9">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sz w:val="21"/>
                      <w:szCs w:val="21"/>
                      <w:lang w:val="en-US" w:eastAsia="zh-CN" w:bidi="ar-SA"/>
                    </w:rPr>
                  </w:pPr>
                  <w:r>
                    <w:rPr>
                      <w:rFonts w:hint="default" w:ascii="Times New Roman" w:hAnsi="Times New Roman" w:cs="Times New Roman" w:eastAsiaTheme="minorEastAsia"/>
                      <w:i w:val="0"/>
                      <w:iCs w:val="0"/>
                      <w:color w:val="000000"/>
                      <w:kern w:val="0"/>
                      <w:sz w:val="21"/>
                      <w:szCs w:val="21"/>
                      <w:u w:val="none"/>
                      <w:lang w:val="en-US" w:eastAsia="zh-CN" w:bidi="ar"/>
                    </w:rPr>
                    <w:t>JS-003</w:t>
                  </w:r>
                </w:p>
              </w:tc>
              <w:tc>
                <w:tcPr>
                  <w:tcW w:w="1469" w:type="dxa"/>
                  <w:vMerge w:val="restart"/>
                  <w:noWrap w:val="0"/>
                  <w:vAlign w:val="center"/>
                </w:tcPr>
                <w:p w14:paraId="75A1EF30">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bidi="ar-SA"/>
                    </w:rPr>
                  </w:pPr>
                  <w:r>
                    <w:rPr>
                      <w:rFonts w:hint="default" w:ascii="Times New Roman" w:hAnsi="Times New Roman" w:cs="Times New Roman" w:eastAsiaTheme="minorEastAsia"/>
                      <w:color w:val="auto"/>
                      <w:sz w:val="21"/>
                      <w:szCs w:val="21"/>
                      <w:lang w:val="en-US" w:eastAsia="zh-CN"/>
                    </w:rPr>
                    <w:t>0.07</w:t>
                  </w:r>
                  <w:r>
                    <w:rPr>
                      <w:rFonts w:hint="default" w:ascii="Times New Roman" w:hAnsi="Times New Roman" w:cs="Times New Roman" w:eastAsiaTheme="minorEastAsia"/>
                      <w:kern w:val="0"/>
                      <w:sz w:val="21"/>
                      <w:szCs w:val="21"/>
                      <w:u w:val="none"/>
                      <w:lang w:val="en-US" w:eastAsia="zh-CN" w:bidi="ar-SA"/>
                    </w:rPr>
                    <w:t>mg/m</w:t>
                  </w:r>
                  <w:r>
                    <w:rPr>
                      <w:rFonts w:hint="default" w:ascii="Times New Roman" w:hAnsi="Times New Roman" w:cs="Times New Roman" w:eastAsiaTheme="minorEastAsia"/>
                      <w:kern w:val="0"/>
                      <w:sz w:val="21"/>
                      <w:szCs w:val="21"/>
                      <w:u w:val="none"/>
                      <w:vertAlign w:val="superscript"/>
                      <w:lang w:val="en-US" w:eastAsia="zh-CN" w:bidi="ar-SA"/>
                    </w:rPr>
                    <w:t>3</w:t>
                  </w:r>
                </w:p>
              </w:tc>
            </w:tr>
            <w:tr w14:paraId="29719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476" w:type="dxa"/>
                  <w:vMerge w:val="continue"/>
                  <w:noWrap w:val="0"/>
                  <w:vAlign w:val="center"/>
                </w:tcPr>
                <w:p w14:paraId="12BA2124">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sz w:val="21"/>
                      <w:szCs w:val="21"/>
                    </w:rPr>
                  </w:pPr>
                </w:p>
              </w:tc>
              <w:tc>
                <w:tcPr>
                  <w:tcW w:w="1291" w:type="dxa"/>
                  <w:vMerge w:val="continue"/>
                  <w:noWrap w:val="0"/>
                  <w:vAlign w:val="center"/>
                </w:tcPr>
                <w:p w14:paraId="18144669">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sz w:val="21"/>
                      <w:szCs w:val="21"/>
                    </w:rPr>
                  </w:pPr>
                </w:p>
              </w:tc>
              <w:tc>
                <w:tcPr>
                  <w:tcW w:w="3126" w:type="dxa"/>
                  <w:vMerge w:val="restart"/>
                  <w:noWrap w:val="0"/>
                  <w:vAlign w:val="center"/>
                </w:tcPr>
                <w:p w14:paraId="7610F981">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sz w:val="21"/>
                      <w:szCs w:val="21"/>
                      <w:lang w:val="en-US" w:eastAsia="zh-CN" w:bidi="ar-SA"/>
                    </w:rPr>
                  </w:pPr>
                  <w:r>
                    <w:rPr>
                      <w:rFonts w:hint="default" w:ascii="Times New Roman" w:hAnsi="Times New Roman" w:cs="Times New Roman" w:eastAsiaTheme="minorEastAsia"/>
                      <w:color w:val="auto"/>
                      <w:sz w:val="21"/>
                      <w:szCs w:val="21"/>
                      <w:lang w:val="en-US" w:eastAsia="zh-CN" w:bidi="ar-SA"/>
                    </w:rPr>
                    <w:t>环境空气 总烃、甲烷和非甲烷总 烃的测定 直接进样-气相色谱法  HJ 604-2017</w:t>
                  </w:r>
                </w:p>
              </w:tc>
              <w:tc>
                <w:tcPr>
                  <w:tcW w:w="2956" w:type="dxa"/>
                  <w:vMerge w:val="continue"/>
                  <w:noWrap w:val="0"/>
                  <w:vAlign w:val="center"/>
                </w:tcPr>
                <w:p w14:paraId="4574DB6B">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sz w:val="21"/>
                      <w:szCs w:val="21"/>
                      <w:lang w:eastAsia="zh-CN"/>
                    </w:rPr>
                  </w:pPr>
                </w:p>
              </w:tc>
              <w:tc>
                <w:tcPr>
                  <w:tcW w:w="1469" w:type="dxa"/>
                  <w:vMerge w:val="continue"/>
                  <w:noWrap w:val="0"/>
                  <w:vAlign w:val="center"/>
                </w:tcPr>
                <w:p w14:paraId="1D17C989">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sz w:val="21"/>
                      <w:szCs w:val="21"/>
                      <w:lang w:eastAsia="zh-CN"/>
                    </w:rPr>
                  </w:pPr>
                </w:p>
              </w:tc>
            </w:tr>
            <w:tr w14:paraId="23515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476" w:type="dxa"/>
                  <w:vMerge w:val="continue"/>
                  <w:noWrap w:val="0"/>
                  <w:vAlign w:val="center"/>
                </w:tcPr>
                <w:p w14:paraId="03E9047E">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rPr>
                  </w:pPr>
                </w:p>
              </w:tc>
              <w:tc>
                <w:tcPr>
                  <w:tcW w:w="1291" w:type="dxa"/>
                  <w:vMerge w:val="continue"/>
                  <w:noWrap w:val="0"/>
                  <w:vAlign w:val="center"/>
                </w:tcPr>
                <w:p w14:paraId="286519A2">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rPr>
                  </w:pPr>
                </w:p>
              </w:tc>
              <w:tc>
                <w:tcPr>
                  <w:tcW w:w="3126" w:type="dxa"/>
                  <w:vMerge w:val="continue"/>
                  <w:noWrap w:val="0"/>
                  <w:vAlign w:val="center"/>
                </w:tcPr>
                <w:p w14:paraId="2D5BF3C3">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rPr>
                  </w:pPr>
                </w:p>
              </w:tc>
              <w:tc>
                <w:tcPr>
                  <w:tcW w:w="2956" w:type="dxa"/>
                  <w:vMerge w:val="continue"/>
                  <w:noWrap w:val="0"/>
                  <w:vAlign w:val="center"/>
                </w:tcPr>
                <w:p w14:paraId="115F8093">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rPr>
                  </w:pPr>
                </w:p>
              </w:tc>
              <w:tc>
                <w:tcPr>
                  <w:tcW w:w="1469" w:type="dxa"/>
                  <w:noWrap w:val="0"/>
                  <w:vAlign w:val="center"/>
                </w:tcPr>
                <w:p w14:paraId="5F276E91">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bidi="ar-SA"/>
                    </w:rPr>
                  </w:pPr>
                  <w:r>
                    <w:rPr>
                      <w:rFonts w:hint="default" w:ascii="Times New Roman" w:hAnsi="Times New Roman" w:cs="Times New Roman" w:eastAsiaTheme="minorEastAsia"/>
                      <w:color w:val="auto"/>
                      <w:sz w:val="21"/>
                      <w:szCs w:val="21"/>
                      <w:lang w:val="en-US" w:eastAsia="zh-CN" w:bidi="ar-SA"/>
                    </w:rPr>
                    <w:t>0.0</w:t>
                  </w:r>
                  <w:r>
                    <w:rPr>
                      <w:rFonts w:hint="eastAsia" w:ascii="Times New Roman" w:hAnsi="Times New Roman" w:cs="Times New Roman" w:eastAsiaTheme="minorEastAsia"/>
                      <w:color w:val="auto"/>
                      <w:sz w:val="21"/>
                      <w:szCs w:val="21"/>
                      <w:lang w:val="en-US" w:eastAsia="zh-CN" w:bidi="ar-SA"/>
                    </w:rPr>
                    <w:t>7</w:t>
                  </w:r>
                  <w:r>
                    <w:rPr>
                      <w:rFonts w:hint="default" w:ascii="Times New Roman" w:hAnsi="Times New Roman" w:cs="Times New Roman" w:eastAsiaTheme="minorEastAsia"/>
                      <w:color w:val="auto"/>
                      <w:sz w:val="21"/>
                      <w:szCs w:val="21"/>
                      <w:lang w:val="en-US" w:eastAsia="zh-CN"/>
                    </w:rPr>
                    <w:t>mg/m</w:t>
                  </w:r>
                  <w:r>
                    <w:rPr>
                      <w:rFonts w:hint="default" w:ascii="Times New Roman" w:hAnsi="Times New Roman" w:cs="Times New Roman" w:eastAsiaTheme="minorEastAsia"/>
                      <w:color w:val="auto"/>
                      <w:sz w:val="21"/>
                      <w:szCs w:val="21"/>
                      <w:vertAlign w:val="superscript"/>
                      <w:lang w:val="en-US" w:eastAsia="zh-CN"/>
                    </w:rPr>
                    <w:t>3</w:t>
                  </w:r>
                </w:p>
              </w:tc>
            </w:tr>
            <w:tr w14:paraId="5DCDB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476" w:type="dxa"/>
                  <w:noWrap w:val="0"/>
                  <w:vAlign w:val="center"/>
                </w:tcPr>
                <w:p w14:paraId="1B3DF1B4">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 w:val="0"/>
                      <w:bCs/>
                      <w:color w:val="auto"/>
                      <w:sz w:val="21"/>
                      <w:szCs w:val="21"/>
                      <w:lang w:val="en-US" w:eastAsia="zh-CN" w:bidi="ar-SA"/>
                    </w:rPr>
                  </w:pPr>
                  <w:r>
                    <w:rPr>
                      <w:rFonts w:hint="eastAsia" w:ascii="Times New Roman" w:hAnsi="Times New Roman" w:cs="Times New Roman" w:eastAsiaTheme="minorEastAsia"/>
                      <w:b w:val="0"/>
                      <w:bCs/>
                      <w:color w:val="auto"/>
                      <w:sz w:val="21"/>
                      <w:szCs w:val="21"/>
                      <w:lang w:val="en-US" w:eastAsia="zh-CN" w:bidi="ar-SA"/>
                    </w:rPr>
                    <w:t>9</w:t>
                  </w:r>
                </w:p>
              </w:tc>
              <w:tc>
                <w:tcPr>
                  <w:tcW w:w="1291" w:type="dxa"/>
                  <w:noWrap w:val="0"/>
                  <w:vAlign w:val="center"/>
                </w:tcPr>
                <w:p w14:paraId="234CA72A">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bidi="ar-SA"/>
                    </w:rPr>
                  </w:pPr>
                  <w:r>
                    <w:rPr>
                      <w:rFonts w:hint="default" w:ascii="Times New Roman" w:hAnsi="Times New Roman" w:cs="Times New Roman" w:eastAsiaTheme="minorEastAsia"/>
                      <w:color w:val="auto"/>
                      <w:sz w:val="21"/>
                      <w:szCs w:val="21"/>
                      <w:lang w:val="en-US" w:eastAsia="zh-CN" w:bidi="ar-SA"/>
                    </w:rPr>
                    <w:t>总悬浮颗粒物（TSP）</w:t>
                  </w:r>
                </w:p>
              </w:tc>
              <w:tc>
                <w:tcPr>
                  <w:tcW w:w="3126" w:type="dxa"/>
                  <w:noWrap w:val="0"/>
                  <w:vAlign w:val="center"/>
                </w:tcPr>
                <w:p w14:paraId="51BE46EE">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bidi="ar-SA"/>
                    </w:rPr>
                  </w:pPr>
                  <w:r>
                    <w:rPr>
                      <w:rFonts w:hint="default" w:ascii="Times New Roman" w:hAnsi="Times New Roman" w:cs="Times New Roman" w:eastAsiaTheme="minorEastAsia"/>
                      <w:sz w:val="21"/>
                      <w:szCs w:val="21"/>
                    </w:rPr>
                    <w:t>环境空气 总悬浮颗粒物的测定 重量法</w:t>
                  </w:r>
                  <w:r>
                    <w:rPr>
                      <w:rFonts w:hint="default" w:ascii="Times New Roman" w:hAnsi="Times New Roman" w:cs="Times New Roman" w:eastAsiaTheme="minorEastAsia"/>
                      <w:bCs/>
                      <w:color w:val="000000"/>
                      <w:sz w:val="21"/>
                      <w:szCs w:val="21"/>
                    </w:rPr>
                    <w:t>HJ 1263-2022</w:t>
                  </w:r>
                </w:p>
              </w:tc>
              <w:tc>
                <w:tcPr>
                  <w:tcW w:w="2956" w:type="dxa"/>
                  <w:noWrap w:val="0"/>
                  <w:vAlign w:val="center"/>
                </w:tcPr>
                <w:p w14:paraId="438EFFD9">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bidi="ar-SA"/>
                    </w:rPr>
                  </w:pPr>
                  <w:r>
                    <w:rPr>
                      <w:rFonts w:hint="default" w:ascii="Times New Roman" w:hAnsi="Times New Roman" w:cs="Times New Roman" w:eastAsiaTheme="minorEastAsia"/>
                      <w:color w:val="auto"/>
                      <w:sz w:val="21"/>
                      <w:szCs w:val="21"/>
                      <w:highlight w:val="none"/>
                      <w:lang w:eastAsia="zh-CN"/>
                    </w:rPr>
                    <w:t>十万分之一电子天平</w:t>
                  </w:r>
                  <w:r>
                    <w:rPr>
                      <w:rFonts w:hint="default" w:ascii="Times New Roman" w:hAnsi="Times New Roman" w:cs="Times New Roman" w:eastAsiaTheme="minorEastAsia"/>
                      <w:color w:val="auto"/>
                      <w:sz w:val="21"/>
                      <w:szCs w:val="21"/>
                      <w:highlight w:val="none"/>
                      <w:lang w:val="en-US" w:eastAsia="zh-CN"/>
                    </w:rPr>
                    <w:t>/ES1035B/JS-005</w:t>
                  </w:r>
                </w:p>
              </w:tc>
              <w:tc>
                <w:tcPr>
                  <w:tcW w:w="1469" w:type="dxa"/>
                  <w:noWrap w:val="0"/>
                  <w:vAlign w:val="center"/>
                </w:tcPr>
                <w:p w14:paraId="4921E8F4">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bidi="ar-SA"/>
                    </w:rPr>
                  </w:pPr>
                  <w:r>
                    <w:rPr>
                      <w:rFonts w:hint="eastAsia" w:ascii="Times New Roman" w:hAnsi="Times New Roman" w:eastAsia="宋体" w:cs="Times New Roman"/>
                      <w:kern w:val="2"/>
                      <w:sz w:val="18"/>
                      <w:szCs w:val="18"/>
                      <w:lang w:val="en-US" w:eastAsia="zh-CN" w:bidi="ar"/>
                    </w:rPr>
                    <w:t>168</w:t>
                  </w:r>
                  <w:r>
                    <w:rPr>
                      <w:rFonts w:hint="default" w:ascii="Times New Roman" w:hAnsi="Times New Roman" w:eastAsia="宋体" w:cs="Times New Roman"/>
                      <w:kern w:val="2"/>
                      <w:sz w:val="18"/>
                      <w:szCs w:val="18"/>
                      <w:lang w:val="en-US" w:eastAsia="zh-CN" w:bidi="ar"/>
                    </w:rPr>
                    <w:t>μg/m</w:t>
                  </w:r>
                  <w:r>
                    <w:rPr>
                      <w:rFonts w:hint="default" w:ascii="Times New Roman" w:hAnsi="Times New Roman" w:eastAsia="宋体" w:cs="Times New Roman"/>
                      <w:kern w:val="2"/>
                      <w:sz w:val="18"/>
                      <w:szCs w:val="18"/>
                      <w:vertAlign w:val="superscript"/>
                      <w:lang w:val="en-US" w:eastAsia="zh-CN" w:bidi="ar"/>
                    </w:rPr>
                    <w:t>3</w:t>
                  </w:r>
                </w:p>
              </w:tc>
            </w:tr>
            <w:tr w14:paraId="4E659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476" w:type="dxa"/>
                  <w:noWrap w:val="0"/>
                  <w:vAlign w:val="center"/>
                </w:tcPr>
                <w:p w14:paraId="52E94FBE">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bCs/>
                      <w:color w:val="auto"/>
                      <w:sz w:val="21"/>
                      <w:szCs w:val="21"/>
                      <w:lang w:val="en-US" w:eastAsia="zh-CN"/>
                    </w:rPr>
                  </w:pPr>
                  <w:r>
                    <w:rPr>
                      <w:rFonts w:hint="default" w:ascii="Times New Roman" w:hAnsi="Times New Roman" w:cs="Times New Roman" w:eastAsiaTheme="minorEastAsia"/>
                      <w:bCs/>
                      <w:color w:val="auto"/>
                      <w:sz w:val="21"/>
                      <w:szCs w:val="21"/>
                      <w:lang w:val="en-US" w:eastAsia="zh-CN"/>
                    </w:rPr>
                    <w:t>1</w:t>
                  </w:r>
                  <w:r>
                    <w:rPr>
                      <w:rFonts w:hint="eastAsia" w:ascii="Times New Roman" w:hAnsi="Times New Roman" w:cs="Times New Roman" w:eastAsiaTheme="minorEastAsia"/>
                      <w:bCs/>
                      <w:color w:val="auto"/>
                      <w:sz w:val="21"/>
                      <w:szCs w:val="21"/>
                      <w:lang w:val="en-US" w:eastAsia="zh-CN"/>
                    </w:rPr>
                    <w:t>0</w:t>
                  </w:r>
                </w:p>
              </w:tc>
              <w:tc>
                <w:tcPr>
                  <w:tcW w:w="1291" w:type="dxa"/>
                  <w:noWrap w:val="0"/>
                  <w:vAlign w:val="center"/>
                </w:tcPr>
                <w:p w14:paraId="64B1472C">
                  <w:pPr>
                    <w:keepNext w:val="0"/>
                    <w:keepLines w:val="0"/>
                    <w:pageBreakBefore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厂界环境噪声</w:t>
                  </w:r>
                </w:p>
              </w:tc>
              <w:tc>
                <w:tcPr>
                  <w:tcW w:w="3126" w:type="dxa"/>
                  <w:noWrap w:val="0"/>
                  <w:vAlign w:val="center"/>
                </w:tcPr>
                <w:p w14:paraId="39B6E756">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工业企业厂界环境噪声排放标准GB 12348-2008</w:t>
                  </w:r>
                </w:p>
              </w:tc>
              <w:tc>
                <w:tcPr>
                  <w:tcW w:w="2956" w:type="dxa"/>
                  <w:noWrap w:val="0"/>
                  <w:vAlign w:val="center"/>
                </w:tcPr>
                <w:p w14:paraId="0C361CAD">
                  <w:pPr>
                    <w:keepNext w:val="0"/>
                    <w:keepLines w:val="0"/>
                    <w:pageBreakBefore w:val="0"/>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多功能声级计/AWA5688</w:t>
                  </w:r>
                </w:p>
              </w:tc>
              <w:tc>
                <w:tcPr>
                  <w:tcW w:w="1469" w:type="dxa"/>
                  <w:noWrap w:val="0"/>
                  <w:vAlign w:val="center"/>
                </w:tcPr>
                <w:p w14:paraId="1575E9AE">
                  <w:pPr>
                    <w:keepNext w:val="0"/>
                    <w:keepLines w:val="0"/>
                    <w:pageBreakBefore w:val="0"/>
                    <w:widowControl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w:t>
                  </w:r>
                </w:p>
              </w:tc>
            </w:tr>
          </w:tbl>
          <w:p w14:paraId="58884081">
            <w:pPr>
              <w:pStyle w:val="2"/>
              <w:keepNext/>
              <w:keepLines/>
              <w:pageBreakBefore w:val="0"/>
              <w:widowControl/>
              <w:kinsoku/>
              <w:wordWrap/>
              <w:overflowPunct/>
              <w:topLinePunct w:val="0"/>
              <w:autoSpaceDE/>
              <w:autoSpaceDN/>
              <w:bidi w:val="0"/>
              <w:adjustRightInd w:val="0"/>
              <w:snapToGrid w:val="0"/>
              <w:spacing w:before="0" w:beforeLines="0" w:after="0" w:afterLines="0" w:line="360" w:lineRule="auto"/>
              <w:ind w:right="0" w:rightChars="0"/>
              <w:jc w:val="left"/>
              <w:textAlignment w:val="auto"/>
              <w:outlineLvl w:val="0"/>
              <w:rPr>
                <w:rFonts w:hint="default"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 xml:space="preserve"> </w:t>
            </w:r>
          </w:p>
        </w:tc>
      </w:tr>
    </w:tbl>
    <w:p w14:paraId="6CA81023">
      <w:pPr>
        <w:keepNext w:val="0"/>
        <w:keepLines w:val="0"/>
        <w:pageBreakBefore w:val="0"/>
        <w:widowControl/>
        <w:kinsoku/>
        <w:wordWrap/>
        <w:overflowPunct/>
        <w:topLinePunct w:val="0"/>
        <w:autoSpaceDE/>
        <w:autoSpaceDN/>
        <w:bidi w:val="0"/>
        <w:adjustRightInd/>
        <w:snapToGrid/>
        <w:spacing w:after="0" w:line="520" w:lineRule="exact"/>
        <w:textAlignment w:val="auto"/>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p>
    <w:p w14:paraId="6E477AC1">
      <w:pPr>
        <w:keepNext w:val="0"/>
        <w:keepLines w:val="0"/>
        <w:pageBreakBefore w:val="0"/>
        <w:widowControl/>
        <w:kinsoku/>
        <w:wordWrap/>
        <w:overflowPunct/>
        <w:topLinePunct w:val="0"/>
        <w:autoSpaceDE/>
        <w:autoSpaceDN/>
        <w:bidi w:val="0"/>
        <w:adjustRightInd/>
        <w:snapToGrid/>
        <w:spacing w:after="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表六</w:t>
      </w:r>
    </w:p>
    <w:tbl>
      <w:tblPr>
        <w:tblStyle w:val="17"/>
        <w:tblpPr w:leftFromText="180" w:rightFromText="180" w:vertAnchor="text" w:tblpXSpec="center" w:tblpY="1"/>
        <w:tblOverlap w:val="never"/>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14:paraId="06945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7" w:hRule="atLeast"/>
          <w:jc w:val="center"/>
        </w:trPr>
        <w:tc>
          <w:tcPr>
            <w:tcW w:w="9288" w:type="dxa"/>
            <w:vAlign w:val="center"/>
          </w:tcPr>
          <w:p w14:paraId="46A65D8A">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内容：</w:t>
            </w:r>
          </w:p>
          <w:p w14:paraId="2063464F">
            <w:pPr>
              <w:pStyle w:val="3"/>
              <w:pageBreakBefore w:val="0"/>
              <w:kinsoku/>
              <w:wordWrap/>
              <w:overflowPunct/>
              <w:topLinePunct w:val="0"/>
              <w:autoSpaceDE/>
              <w:autoSpaceDN/>
              <w:bidi w:val="0"/>
              <w:adjustRightInd/>
              <w:snapToGrid/>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szCs w:val="24"/>
                <w14:textFill>
                  <w14:solidFill>
                    <w14:schemeClr w14:val="tx1"/>
                  </w14:solidFill>
                </w14:textFill>
              </w:rPr>
              <w:t>废气</w:t>
            </w:r>
          </w:p>
          <w:p w14:paraId="058AD72D">
            <w:pPr>
              <w:keepNext w:val="0"/>
              <w:keepLines w:val="0"/>
              <w:pageBreakBefore w:val="0"/>
              <w:widowControl w:val="0"/>
              <w:numPr>
                <w:ilvl w:val="0"/>
                <w:numId w:val="0"/>
              </w:numPr>
              <w:kinsoku/>
              <w:wordWrap/>
              <w:overflowPunct/>
              <w:topLinePunct w:val="0"/>
              <w:autoSpaceDE/>
              <w:autoSpaceDN/>
              <w:bidi w:val="0"/>
              <w:adjustRightInd/>
              <w:snapToGrid/>
              <w:spacing w:after="0" w:line="520" w:lineRule="exact"/>
              <w:ind w:right="0" w:rightChars="0" w:firstLine="480" w:firstLineChars="200"/>
              <w:jc w:val="both"/>
              <w:textAlignment w:val="auto"/>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废气检测内容见下表。</w:t>
            </w:r>
          </w:p>
          <w:p w14:paraId="7C74BABD">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表1</w:t>
            </w:r>
            <w:r>
              <w:rPr>
                <w:rFonts w:hint="eastAsia" w:ascii="Times New Roman" w:hAnsi="Times New Roman" w:cs="Times New Roman" w:eastAsiaTheme="minorEastAsia"/>
                <w:b/>
                <w:bCs/>
                <w:color w:val="auto"/>
                <w:kern w:val="2"/>
                <w:sz w:val="24"/>
                <w:szCs w:val="24"/>
                <w:lang w:val="en-US" w:eastAsia="zh-CN" w:bidi="ar-SA"/>
              </w:rPr>
              <w:t xml:space="preserve">2  </w:t>
            </w:r>
            <w:r>
              <w:rPr>
                <w:rFonts w:hint="default" w:ascii="Times New Roman" w:hAnsi="Times New Roman" w:cs="Times New Roman" w:eastAsiaTheme="minorEastAsia"/>
                <w:b/>
                <w:bCs/>
                <w:color w:val="auto"/>
                <w:kern w:val="2"/>
                <w:sz w:val="24"/>
                <w:szCs w:val="24"/>
                <w:lang w:val="en-US" w:eastAsia="zh-CN" w:bidi="ar-SA"/>
              </w:rPr>
              <w:t xml:space="preserve"> 废</w:t>
            </w:r>
            <w:r>
              <w:rPr>
                <w:rFonts w:hint="eastAsia" w:ascii="Times New Roman" w:hAnsi="Times New Roman" w:cs="Times New Roman" w:eastAsiaTheme="minorEastAsia"/>
                <w:b/>
                <w:bCs/>
                <w:color w:val="auto"/>
                <w:kern w:val="2"/>
                <w:sz w:val="24"/>
                <w:szCs w:val="24"/>
                <w:lang w:val="en-US" w:eastAsia="zh-CN" w:bidi="ar-SA"/>
              </w:rPr>
              <w:t>气</w:t>
            </w:r>
            <w:r>
              <w:rPr>
                <w:rFonts w:hint="default" w:ascii="Times New Roman" w:hAnsi="Times New Roman" w:cs="Times New Roman" w:eastAsiaTheme="minorEastAsia"/>
                <w:b/>
                <w:bCs/>
                <w:color w:val="auto"/>
                <w:kern w:val="2"/>
                <w:sz w:val="24"/>
                <w:szCs w:val="24"/>
                <w:lang w:val="en-US" w:eastAsia="zh-CN" w:bidi="ar-SA"/>
              </w:rPr>
              <w:t>监测内容一览表</w:t>
            </w:r>
          </w:p>
          <w:tbl>
            <w:tblPr>
              <w:tblStyle w:val="18"/>
              <w:tblW w:w="91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971"/>
              <w:gridCol w:w="1020"/>
              <w:gridCol w:w="1635"/>
              <w:gridCol w:w="3720"/>
            </w:tblGrid>
            <w:tr w14:paraId="5E98D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3" w:hRule="atLeast"/>
              </w:trPr>
              <w:tc>
                <w:tcPr>
                  <w:tcW w:w="758" w:type="dxa"/>
                  <w:shd w:val="clear" w:color="auto" w:fill="F1F1F1"/>
                  <w:noWrap w:val="0"/>
                  <w:vAlign w:val="center"/>
                </w:tcPr>
                <w:p w14:paraId="3A590AB0">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color w:val="000000"/>
                      <w:sz w:val="21"/>
                      <w:szCs w:val="21"/>
                      <w:u w:val="none"/>
                      <w:lang w:val="en-US" w:eastAsia="zh-CN"/>
                    </w:rPr>
                    <w:t>监测类别</w:t>
                  </w:r>
                </w:p>
              </w:tc>
              <w:tc>
                <w:tcPr>
                  <w:tcW w:w="1971" w:type="dxa"/>
                  <w:shd w:val="clear" w:color="auto" w:fill="F1F1F1"/>
                  <w:noWrap w:val="0"/>
                  <w:vAlign w:val="center"/>
                </w:tcPr>
                <w:p w14:paraId="0C31FBCC">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color w:val="000000"/>
                      <w:sz w:val="21"/>
                      <w:szCs w:val="21"/>
                      <w:u w:val="none"/>
                      <w:lang w:val="en-US" w:eastAsia="zh-CN"/>
                    </w:rPr>
                    <w:t>监测点位</w:t>
                  </w:r>
                </w:p>
              </w:tc>
              <w:tc>
                <w:tcPr>
                  <w:tcW w:w="1020" w:type="dxa"/>
                  <w:shd w:val="clear" w:color="auto" w:fill="F1F1F1"/>
                  <w:noWrap w:val="0"/>
                  <w:vAlign w:val="center"/>
                </w:tcPr>
                <w:p w14:paraId="785FA334">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color w:val="000000"/>
                      <w:sz w:val="21"/>
                      <w:szCs w:val="21"/>
                      <w:u w:val="none"/>
                      <w:lang w:val="en-US" w:eastAsia="zh-CN"/>
                    </w:rPr>
                    <w:t>监测因子</w:t>
                  </w:r>
                </w:p>
              </w:tc>
              <w:tc>
                <w:tcPr>
                  <w:tcW w:w="1635" w:type="dxa"/>
                  <w:shd w:val="clear" w:color="auto" w:fill="F1F1F1"/>
                  <w:noWrap w:val="0"/>
                  <w:vAlign w:val="center"/>
                </w:tcPr>
                <w:p w14:paraId="734A9B3B">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u w:val="none"/>
                      <w:lang w:val="en-US" w:eastAsia="zh-CN"/>
                    </w:rPr>
                  </w:pPr>
                  <w:r>
                    <w:rPr>
                      <w:rFonts w:hint="default" w:ascii="Times New Roman" w:hAnsi="Times New Roman" w:eastAsia="宋体" w:cs="Times New Roman"/>
                      <w:color w:val="000000"/>
                      <w:sz w:val="21"/>
                      <w:szCs w:val="21"/>
                      <w:u w:val="none"/>
                      <w:lang w:val="en-US" w:eastAsia="zh-CN"/>
                    </w:rPr>
                    <w:t>监测频次</w:t>
                  </w:r>
                </w:p>
              </w:tc>
              <w:tc>
                <w:tcPr>
                  <w:tcW w:w="3720" w:type="dxa"/>
                  <w:shd w:val="clear" w:color="auto" w:fill="F1F1F1"/>
                  <w:noWrap w:val="0"/>
                  <w:vAlign w:val="center"/>
                </w:tcPr>
                <w:p w14:paraId="43377BF6">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sz w:val="21"/>
                      <w:szCs w:val="21"/>
                      <w:u w:val="none"/>
                      <w:lang w:val="en-US" w:eastAsia="zh-CN"/>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执行标准</w:t>
                  </w:r>
                </w:p>
              </w:tc>
            </w:tr>
            <w:tr w14:paraId="39B5C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1" w:hRule="atLeast"/>
              </w:trPr>
              <w:tc>
                <w:tcPr>
                  <w:tcW w:w="758" w:type="dxa"/>
                  <w:noWrap w:val="0"/>
                  <w:vAlign w:val="center"/>
                </w:tcPr>
                <w:p w14:paraId="678E8432">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有组织废气</w:t>
                  </w:r>
                </w:p>
              </w:tc>
              <w:tc>
                <w:tcPr>
                  <w:tcW w:w="1971" w:type="dxa"/>
                  <w:noWrap w:val="0"/>
                  <w:vAlign w:val="center"/>
                </w:tcPr>
                <w:p w14:paraId="1260E3EA">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spacing w:val="-14"/>
                      <w:sz w:val="21"/>
                      <w:szCs w:val="21"/>
                      <w:lang w:val="en-US" w:eastAsia="zh-CN"/>
                    </w:rPr>
                  </w:pPr>
                  <w:r>
                    <w:rPr>
                      <w:rFonts w:hint="eastAsia" w:ascii="Times New Roman" w:hAnsi="Times New Roman" w:eastAsia="宋体" w:cs="Times New Roman"/>
                      <w:spacing w:val="-14"/>
                      <w:sz w:val="21"/>
                      <w:szCs w:val="21"/>
                      <w:lang w:val="en-US" w:eastAsia="zh-CN"/>
                    </w:rPr>
                    <w:t>环保设备进出口</w:t>
                  </w:r>
                </w:p>
              </w:tc>
              <w:tc>
                <w:tcPr>
                  <w:tcW w:w="1020" w:type="dxa"/>
                  <w:noWrap w:val="0"/>
                  <w:vAlign w:val="center"/>
                </w:tcPr>
                <w:p w14:paraId="03F53252">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颗粒物</w:t>
                  </w:r>
                  <w:r>
                    <w:rPr>
                      <w:rFonts w:hint="default" w:ascii="Times New Roman" w:hAnsi="Times New Roman" w:eastAsia="宋体" w:cs="Times New Roman"/>
                      <w:color w:val="000000" w:themeColor="text1"/>
                      <w:sz w:val="21"/>
                      <w:szCs w:val="21"/>
                      <w:lang w:eastAsia="zh-CN"/>
                      <w14:textFill>
                        <w14:solidFill>
                          <w14:schemeClr w14:val="tx1"/>
                        </w14:solidFill>
                      </w14:textFill>
                    </w:rPr>
                    <w:t>、非甲烷总烃</w:t>
                  </w:r>
                </w:p>
              </w:tc>
              <w:tc>
                <w:tcPr>
                  <w:tcW w:w="1635" w:type="dxa"/>
                  <w:noWrap w:val="0"/>
                  <w:vAlign w:val="center"/>
                </w:tcPr>
                <w:p w14:paraId="3AA0B4A8">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连续监测两天</w:t>
                  </w:r>
                </w:p>
                <w:p w14:paraId="0E4F08FB">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每天监测3次</w:t>
                  </w:r>
                </w:p>
              </w:tc>
              <w:tc>
                <w:tcPr>
                  <w:tcW w:w="3720" w:type="dxa"/>
                  <w:vMerge w:val="restart"/>
                  <w:noWrap w:val="0"/>
                  <w:vAlign w:val="center"/>
                </w:tcPr>
                <w:p w14:paraId="77DC5806">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非甲烷总烃</w:t>
                  </w:r>
                  <w:r>
                    <w:rPr>
                      <w:rFonts w:hint="default" w:ascii="Times New Roman" w:hAnsi="Times New Roman" w:eastAsia="宋体" w:cs="Times New Roman"/>
                      <w:color w:val="auto"/>
                      <w:sz w:val="21"/>
                      <w:szCs w:val="21"/>
                      <w:vertAlign w:val="baseline"/>
                      <w:lang w:val="en-US" w:eastAsia="zh-CN"/>
                    </w:rPr>
                    <w:t>满足《关于全省开展工业企业挥发性有机物专项治理工作中排放建议值的通知（豫环攻坚办〔2017〕162 号）》；</w:t>
                  </w:r>
                </w:p>
                <w:p w14:paraId="52E74C6E">
                  <w:pPr>
                    <w:pStyle w:val="22"/>
                    <w:adjustRightInd/>
                    <w:jc w:val="left"/>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颗粒物满足</w:t>
                  </w:r>
                  <w:r>
                    <w:rPr>
                      <w:rFonts w:hint="eastAsia" w:ascii="Times New Roman" w:cs="Times New Roman"/>
                      <w:color w:val="auto"/>
                      <w:sz w:val="21"/>
                      <w:szCs w:val="21"/>
                    </w:rPr>
                    <w:t>《工业炉窑大气污染物排放标准》</w:t>
                  </w:r>
                  <w:r>
                    <w:rPr>
                      <w:rFonts w:hint="eastAsia" w:ascii="Times New Roman" w:cs="Times New Roman"/>
                      <w:color w:val="auto"/>
                      <w:sz w:val="21"/>
                      <w:szCs w:val="21"/>
                      <w:lang w:eastAsia="zh-CN"/>
                    </w:rPr>
                    <w:t>（</w:t>
                  </w:r>
                  <w:r>
                    <w:rPr>
                      <w:rFonts w:ascii="Times New Roman" w:cs="Times New Roman"/>
                      <w:color w:val="auto"/>
                      <w:sz w:val="21"/>
                      <w:szCs w:val="21"/>
                    </w:rPr>
                    <w:t>DB411066-2020</w:t>
                  </w:r>
                  <w:r>
                    <w:rPr>
                      <w:rFonts w:hint="eastAsia" w:ascii="Times New Roman" w:cs="Times New Roman"/>
                      <w:color w:val="auto"/>
                      <w:sz w:val="21"/>
                      <w:szCs w:val="21"/>
                      <w:lang w:eastAsia="zh-CN"/>
                    </w:rPr>
                    <w:t>）、</w:t>
                  </w:r>
                  <w:r>
                    <w:rPr>
                      <w:rFonts w:hint="default" w:ascii="Times New Roman" w:hAnsi="Times New Roman" w:eastAsia="宋体" w:cs="Times New Roman"/>
                      <w:color w:val="auto"/>
                      <w:sz w:val="21"/>
                      <w:szCs w:val="21"/>
                      <w:vertAlign w:val="baseline"/>
                      <w:lang w:val="en-US" w:eastAsia="zh-CN"/>
                    </w:rPr>
                    <w:t>《铸造工业大气污染物排放标准》（GB39726-2020）和《新乡市生态环境局关于进一步规范工业企业颗粒物排放限值的通知》限值要求</w:t>
                  </w:r>
                </w:p>
              </w:tc>
            </w:tr>
            <w:tr w14:paraId="22F51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9" w:hRule="atLeast"/>
              </w:trPr>
              <w:tc>
                <w:tcPr>
                  <w:tcW w:w="758" w:type="dxa"/>
                  <w:noWrap w:val="0"/>
                  <w:vAlign w:val="center"/>
                </w:tcPr>
                <w:p w14:paraId="25AD8509">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无组织废气</w:t>
                  </w:r>
                </w:p>
              </w:tc>
              <w:tc>
                <w:tcPr>
                  <w:tcW w:w="1971" w:type="dxa"/>
                  <w:noWrap w:val="0"/>
                  <w:vAlign w:val="center"/>
                </w:tcPr>
                <w:p w14:paraId="2461E023">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vertAlign w:val="baseline"/>
                      <w:lang w:val="en-US" w:eastAsia="zh-CN"/>
                    </w:rPr>
                    <w:t>厂界外上风向设置一个点位、下风向设置3个点位</w:t>
                  </w:r>
                </w:p>
              </w:tc>
              <w:tc>
                <w:tcPr>
                  <w:tcW w:w="1020" w:type="dxa"/>
                  <w:noWrap w:val="0"/>
                  <w:vAlign w:val="center"/>
                </w:tcPr>
                <w:p w14:paraId="7BF7C6FF">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000000" w:themeColor="text1"/>
                      <w:sz w:val="21"/>
                      <w:szCs w:val="21"/>
                      <w14:textFill>
                        <w14:solidFill>
                          <w14:schemeClr w14:val="tx1"/>
                        </w14:solidFill>
                      </w14:textFill>
                    </w:rPr>
                    <w:t>颗粒物</w:t>
                  </w:r>
                  <w:r>
                    <w:rPr>
                      <w:rFonts w:hint="default" w:ascii="Times New Roman" w:hAnsi="Times New Roman" w:eastAsia="宋体" w:cs="Times New Roman"/>
                      <w:color w:val="000000" w:themeColor="text1"/>
                      <w:sz w:val="21"/>
                      <w:szCs w:val="21"/>
                      <w:lang w:eastAsia="zh-CN"/>
                      <w14:textFill>
                        <w14:solidFill>
                          <w14:schemeClr w14:val="tx1"/>
                        </w14:solidFill>
                      </w14:textFill>
                    </w:rPr>
                    <w:t>、非甲烷总烃</w:t>
                  </w:r>
                </w:p>
              </w:tc>
              <w:tc>
                <w:tcPr>
                  <w:tcW w:w="1635" w:type="dxa"/>
                  <w:noWrap w:val="0"/>
                  <w:vAlign w:val="center"/>
                </w:tcPr>
                <w:p w14:paraId="12BC8B54">
                  <w:pPr>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连续监测两天</w:t>
                  </w:r>
                </w:p>
                <w:p w14:paraId="1C14D590">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每天监测3次</w:t>
                  </w:r>
                </w:p>
              </w:tc>
              <w:tc>
                <w:tcPr>
                  <w:tcW w:w="3720" w:type="dxa"/>
                  <w:vMerge w:val="continue"/>
                  <w:noWrap w:val="0"/>
                  <w:vAlign w:val="center"/>
                </w:tcPr>
                <w:p w14:paraId="43327671">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p>
              </w:tc>
            </w:tr>
          </w:tbl>
          <w:p w14:paraId="02CBC53D">
            <w:pPr>
              <w:pStyle w:val="3"/>
              <w:pageBreakBefore w:val="0"/>
              <w:widowControl/>
              <w:numPr>
                <w:ilvl w:val="0"/>
                <w:numId w:val="0"/>
              </w:numPr>
              <w:kinsoku/>
              <w:wordWrap/>
              <w:overflowPunct/>
              <w:topLinePunct w:val="0"/>
              <w:autoSpaceDE/>
              <w:autoSpaceDN/>
              <w:bidi w:val="0"/>
              <w:adjustRightInd/>
              <w:snapToGrid/>
              <w:spacing w:before="0" w:beforeLines="0" w:after="0" w:line="520" w:lineRule="exact"/>
              <w:textAlignment w:val="auto"/>
              <w:rPr>
                <w:rFonts w:hint="default" w:cs="Times New Roman" w:eastAsiaTheme="minorEastAsia"/>
                <w:color w:val="000000" w:themeColor="text1"/>
                <w:sz w:val="24"/>
                <w:szCs w:val="24"/>
                <w:lang w:val="en-US" w:eastAsia="zh-CN"/>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2、废水</w:t>
            </w:r>
          </w:p>
          <w:p w14:paraId="78E57AAF">
            <w:pPr>
              <w:keepNext w:val="0"/>
              <w:keepLines w:val="0"/>
              <w:pageBreakBefore w:val="0"/>
              <w:widowControl w:val="0"/>
              <w:kinsoku/>
              <w:wordWrap/>
              <w:overflowPunct/>
              <w:topLinePunct w:val="0"/>
              <w:autoSpaceDE/>
              <w:autoSpaceDN/>
              <w:bidi w:val="0"/>
              <w:adjustRightInd/>
              <w:snapToGrid/>
              <w:spacing w:after="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本项目废</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水为生活废水</w:t>
            </w:r>
            <w:r>
              <w:rPr>
                <w:rFonts w:hint="eastAsia" w:cs="Times New Roman" w:eastAsiaTheme="minorEastAsia"/>
                <w:color w:val="000000" w:themeColor="text1"/>
                <w:sz w:val="24"/>
                <w:szCs w:val="24"/>
                <w:lang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生活废水经化粪池处理排入长垣市第二污水处理厂，监测内容详见下表。</w:t>
            </w:r>
          </w:p>
          <w:p w14:paraId="2FFA8E42">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表1</w:t>
            </w:r>
            <w:r>
              <w:rPr>
                <w:rFonts w:hint="eastAsia" w:ascii="Times New Roman" w:hAnsi="Times New Roman" w:cs="Times New Roman" w:eastAsiaTheme="minorEastAsia"/>
                <w:b/>
                <w:bCs/>
                <w:color w:val="auto"/>
                <w:kern w:val="2"/>
                <w:sz w:val="24"/>
                <w:szCs w:val="24"/>
                <w:lang w:val="en-US" w:eastAsia="zh-CN" w:bidi="ar-SA"/>
              </w:rPr>
              <w:t xml:space="preserve">3  </w:t>
            </w:r>
            <w:r>
              <w:rPr>
                <w:rFonts w:hint="default" w:ascii="Times New Roman" w:hAnsi="Times New Roman" w:cs="Times New Roman" w:eastAsiaTheme="minorEastAsia"/>
                <w:b/>
                <w:bCs/>
                <w:color w:val="auto"/>
                <w:kern w:val="2"/>
                <w:sz w:val="24"/>
                <w:szCs w:val="24"/>
                <w:lang w:val="en-US" w:eastAsia="zh-CN" w:bidi="ar-SA"/>
              </w:rPr>
              <w:t xml:space="preserve"> 废水监测内容一览表</w:t>
            </w:r>
          </w:p>
          <w:tbl>
            <w:tblPr>
              <w:tblStyle w:val="18"/>
              <w:tblW w:w="89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0"/>
              <w:gridCol w:w="1121"/>
              <w:gridCol w:w="1420"/>
              <w:gridCol w:w="1485"/>
              <w:gridCol w:w="3829"/>
            </w:tblGrid>
            <w:tr w14:paraId="38ED9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1060" w:type="dxa"/>
                  <w:shd w:val="clear" w:color="auto" w:fill="auto"/>
                  <w:vAlign w:val="center"/>
                </w:tcPr>
                <w:p w14:paraId="4A2AD469">
                  <w:pPr>
                    <w:pStyle w:val="36"/>
                    <w:keepNext w:val="0"/>
                    <w:keepLines w:val="0"/>
                    <w:pageBreakBefore w:val="0"/>
                    <w:widowControl w:val="0"/>
                    <w:kinsoku/>
                    <w:wordWrap/>
                    <w:overflowPunct w:val="0"/>
                    <w:topLinePunct/>
                    <w:autoSpaceDE/>
                    <w:autoSpaceDN/>
                    <w:bidi w:val="0"/>
                    <w:adjustRightInd w:val="0"/>
                    <w:snapToGrid w:val="0"/>
                    <w:spacing w:after="0" w:line="240" w:lineRule="auto"/>
                    <w:textAlignment w:val="baseline"/>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监测点位</w:t>
                  </w:r>
                </w:p>
              </w:tc>
              <w:tc>
                <w:tcPr>
                  <w:tcW w:w="1121" w:type="dxa"/>
                  <w:shd w:val="clear" w:color="auto" w:fill="auto"/>
                  <w:vAlign w:val="center"/>
                </w:tcPr>
                <w:p w14:paraId="753A5803">
                  <w:pPr>
                    <w:pStyle w:val="36"/>
                    <w:keepNext w:val="0"/>
                    <w:keepLines w:val="0"/>
                    <w:pageBreakBefore w:val="0"/>
                    <w:widowControl w:val="0"/>
                    <w:kinsoku/>
                    <w:wordWrap/>
                    <w:overflowPunct w:val="0"/>
                    <w:topLinePunct/>
                    <w:autoSpaceDE/>
                    <w:autoSpaceDN/>
                    <w:bidi w:val="0"/>
                    <w:adjustRightInd w:val="0"/>
                    <w:snapToGrid w:val="0"/>
                    <w:spacing w:after="0" w:line="240" w:lineRule="auto"/>
                    <w:textAlignment w:val="baseline"/>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监测类别</w:t>
                  </w:r>
                </w:p>
              </w:tc>
              <w:tc>
                <w:tcPr>
                  <w:tcW w:w="1420" w:type="dxa"/>
                  <w:shd w:val="clear" w:color="auto" w:fill="auto"/>
                  <w:vAlign w:val="center"/>
                </w:tcPr>
                <w:p w14:paraId="4064754E">
                  <w:pPr>
                    <w:pStyle w:val="36"/>
                    <w:keepNext w:val="0"/>
                    <w:keepLines w:val="0"/>
                    <w:pageBreakBefore w:val="0"/>
                    <w:widowControl w:val="0"/>
                    <w:kinsoku/>
                    <w:wordWrap/>
                    <w:overflowPunct w:val="0"/>
                    <w:topLinePunct/>
                    <w:autoSpaceDE/>
                    <w:autoSpaceDN/>
                    <w:bidi w:val="0"/>
                    <w:adjustRightInd w:val="0"/>
                    <w:snapToGrid w:val="0"/>
                    <w:spacing w:after="0" w:line="240" w:lineRule="auto"/>
                    <w:textAlignment w:val="baseline"/>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监测因子</w:t>
                  </w:r>
                </w:p>
              </w:tc>
              <w:tc>
                <w:tcPr>
                  <w:tcW w:w="1485" w:type="dxa"/>
                  <w:shd w:val="clear" w:color="auto" w:fill="auto"/>
                  <w:vAlign w:val="center"/>
                </w:tcPr>
                <w:p w14:paraId="4A9924D6">
                  <w:pPr>
                    <w:pStyle w:val="36"/>
                    <w:keepNext w:val="0"/>
                    <w:keepLines w:val="0"/>
                    <w:pageBreakBefore w:val="0"/>
                    <w:widowControl w:val="0"/>
                    <w:kinsoku/>
                    <w:wordWrap/>
                    <w:overflowPunct w:val="0"/>
                    <w:topLinePunct/>
                    <w:autoSpaceDE/>
                    <w:autoSpaceDN/>
                    <w:bidi w:val="0"/>
                    <w:adjustRightInd w:val="0"/>
                    <w:snapToGrid w:val="0"/>
                    <w:spacing w:after="0" w:line="240" w:lineRule="auto"/>
                    <w:textAlignment w:val="baseline"/>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监测频次</w:t>
                  </w:r>
                </w:p>
              </w:tc>
              <w:tc>
                <w:tcPr>
                  <w:tcW w:w="3829" w:type="dxa"/>
                  <w:shd w:val="clear" w:color="auto" w:fill="auto"/>
                  <w:vAlign w:val="center"/>
                </w:tcPr>
                <w:p w14:paraId="664957CF">
                  <w:pPr>
                    <w:pStyle w:val="36"/>
                    <w:keepNext w:val="0"/>
                    <w:keepLines w:val="0"/>
                    <w:pageBreakBefore w:val="0"/>
                    <w:widowControl w:val="0"/>
                    <w:kinsoku/>
                    <w:wordWrap/>
                    <w:overflowPunct w:val="0"/>
                    <w:topLinePunct/>
                    <w:autoSpaceDE/>
                    <w:autoSpaceDN/>
                    <w:bidi w:val="0"/>
                    <w:adjustRightInd w:val="0"/>
                    <w:snapToGrid w:val="0"/>
                    <w:spacing w:after="0" w:line="240" w:lineRule="auto"/>
                    <w:textAlignment w:val="baseline"/>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执行标准</w:t>
                  </w:r>
                </w:p>
              </w:tc>
            </w:tr>
            <w:tr w14:paraId="1CF89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060" w:type="dxa"/>
                  <w:vAlign w:val="center"/>
                </w:tcPr>
                <w:p w14:paraId="6189C94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废水排放口</w:t>
                  </w:r>
                </w:p>
              </w:tc>
              <w:tc>
                <w:tcPr>
                  <w:tcW w:w="1121" w:type="dxa"/>
                  <w:vAlign w:val="center"/>
                </w:tcPr>
                <w:p w14:paraId="7F10C2A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废水</w:t>
                  </w:r>
                </w:p>
              </w:tc>
              <w:tc>
                <w:tcPr>
                  <w:tcW w:w="1420" w:type="dxa"/>
                  <w:vAlign w:val="center"/>
                </w:tcPr>
                <w:p w14:paraId="19B08AC4">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COD、BOD</w:t>
                  </w:r>
                  <w:r>
                    <w:rPr>
                      <w:rFonts w:hint="default" w:ascii="Times New Roman" w:hAnsi="Times New Roman" w:cs="Times New Roman" w:eastAsiaTheme="minorEastAsia"/>
                      <w:b w:val="0"/>
                      <w:bCs w:val="0"/>
                      <w:color w:val="000000" w:themeColor="text1"/>
                      <w:kern w:val="2"/>
                      <w:sz w:val="21"/>
                      <w:szCs w:val="21"/>
                      <w:vertAlign w:val="subscript"/>
                      <w:lang w:val="en-US" w:eastAsia="zh-CN" w:bidi="ar-SA"/>
                      <w14:textFill>
                        <w14:solidFill>
                          <w14:schemeClr w14:val="tx1"/>
                        </w14:solidFill>
                      </w14:textFill>
                    </w:rPr>
                    <w:t>5</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、SS、NH</w:t>
                  </w:r>
                  <w:r>
                    <w:rPr>
                      <w:rFonts w:hint="default" w:ascii="Times New Roman" w:hAnsi="Times New Roman" w:cs="Times New Roman" w:eastAsiaTheme="minorEastAsia"/>
                      <w:b w:val="0"/>
                      <w:bCs w:val="0"/>
                      <w:color w:val="000000" w:themeColor="text1"/>
                      <w:kern w:val="2"/>
                      <w:sz w:val="21"/>
                      <w:szCs w:val="21"/>
                      <w:vertAlign w:val="subscript"/>
                      <w:lang w:val="en-US" w:eastAsia="zh-CN" w:bidi="ar-SA"/>
                      <w14:textFill>
                        <w14:solidFill>
                          <w14:schemeClr w14:val="tx1"/>
                        </w14:solidFill>
                      </w14:textFill>
                    </w:rPr>
                    <w:t>3</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-N、总磷、总氮</w:t>
                  </w:r>
                </w:p>
              </w:tc>
              <w:tc>
                <w:tcPr>
                  <w:tcW w:w="1485" w:type="dxa"/>
                  <w:vAlign w:val="center"/>
                </w:tcPr>
                <w:p w14:paraId="336D6DF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连续</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监测2天</w:t>
                  </w:r>
                </w:p>
                <w:p w14:paraId="41F6DC1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每</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天</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监测</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3次</w:t>
                  </w:r>
                </w:p>
              </w:tc>
              <w:tc>
                <w:tcPr>
                  <w:tcW w:w="3829" w:type="dxa"/>
                  <w:vAlign w:val="center"/>
                </w:tcPr>
                <w:p w14:paraId="283A838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《污水综合排放标准》（GB8978   -1996）表4中三级标准以及长垣市第一污水处理厂进水控制指标，二者取严。</w:t>
                  </w:r>
                </w:p>
              </w:tc>
            </w:tr>
          </w:tbl>
          <w:p w14:paraId="32158182">
            <w:pPr>
              <w:pStyle w:val="3"/>
              <w:pageBreakBefore w:val="0"/>
              <w:widowControl/>
              <w:numPr>
                <w:ilvl w:val="0"/>
                <w:numId w:val="0"/>
              </w:numPr>
              <w:kinsoku/>
              <w:wordWrap/>
              <w:overflowPunct/>
              <w:topLinePunct w:val="0"/>
              <w:autoSpaceDE/>
              <w:autoSpaceDN/>
              <w:bidi w:val="0"/>
              <w:adjustRightInd/>
              <w:snapToGrid/>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14:textFill>
                  <w14:solidFill>
                    <w14:schemeClr w14:val="tx1"/>
                  </w14:solidFill>
                </w14:textFill>
              </w:rPr>
              <w:t>厂界噪声</w:t>
            </w:r>
            <w:r>
              <w:rPr>
                <w:rFonts w:hint="eastAsia" w:cs="Times New Roman" w:eastAsiaTheme="minorEastAsia"/>
                <w:color w:val="000000" w:themeColor="text1"/>
                <w:sz w:val="24"/>
                <w:szCs w:val="24"/>
                <w:lang w:val="en-US" w:eastAsia="zh-CN"/>
                <w14:textFill>
                  <w14:solidFill>
                    <w14:schemeClr w14:val="tx1"/>
                  </w14:solidFill>
                </w14:textFill>
              </w:rPr>
              <w:t>检</w:t>
            </w:r>
            <w:r>
              <w:rPr>
                <w:rFonts w:hint="default" w:ascii="Times New Roman" w:hAnsi="Times New Roman" w:cs="Times New Roman" w:eastAsiaTheme="minorEastAsia"/>
                <w:color w:val="000000" w:themeColor="text1"/>
                <w:sz w:val="24"/>
                <w:szCs w:val="24"/>
                <w14:textFill>
                  <w14:solidFill>
                    <w14:schemeClr w14:val="tx1"/>
                  </w14:solidFill>
                </w14:textFill>
              </w:rPr>
              <w:t>测</w:t>
            </w:r>
          </w:p>
          <w:p w14:paraId="339A77CD">
            <w:pPr>
              <w:keepNext w:val="0"/>
              <w:keepLines w:val="0"/>
              <w:pageBreakBefore w:val="0"/>
              <w:widowControl/>
              <w:kinsoku/>
              <w:wordWrap/>
              <w:overflowPunct/>
              <w:topLinePunct w:val="0"/>
              <w:autoSpaceDE/>
              <w:autoSpaceDN/>
              <w:bidi w:val="0"/>
              <w:adjustRightInd/>
              <w:snapToGrid/>
              <w:spacing w:after="0" w:line="520" w:lineRule="exact"/>
              <w:jc w:val="both"/>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eastAsia"/>
                <w:sz w:val="24"/>
                <w:szCs w:val="24"/>
                <w:lang w:val="en-US" w:eastAsia="zh-CN"/>
              </w:rPr>
              <w:t xml:space="preserve">   </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本项目厂界噪声</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内容见下表。</w:t>
            </w:r>
          </w:p>
          <w:p w14:paraId="08DE0BF1">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表1</w:t>
            </w:r>
            <w:r>
              <w:rPr>
                <w:rFonts w:hint="eastAsia" w:ascii="Times New Roman" w:hAnsi="Times New Roman" w:cs="Times New Roman" w:eastAsiaTheme="minorEastAsia"/>
                <w:b/>
                <w:bCs/>
                <w:color w:val="auto"/>
                <w:kern w:val="2"/>
                <w:sz w:val="24"/>
                <w:szCs w:val="24"/>
                <w:lang w:val="en-US" w:eastAsia="zh-CN" w:bidi="ar-SA"/>
              </w:rPr>
              <w:t xml:space="preserve">4   </w:t>
            </w:r>
            <w:r>
              <w:rPr>
                <w:rFonts w:hint="default" w:ascii="Times New Roman" w:hAnsi="Times New Roman" w:cs="Times New Roman" w:eastAsiaTheme="minorEastAsia"/>
                <w:b/>
                <w:bCs/>
                <w:color w:val="auto"/>
                <w:kern w:val="2"/>
                <w:sz w:val="24"/>
                <w:szCs w:val="24"/>
                <w:lang w:val="en-US" w:eastAsia="zh-CN" w:bidi="ar-SA"/>
              </w:rPr>
              <w:t>噪声</w:t>
            </w:r>
            <w:r>
              <w:rPr>
                <w:rFonts w:hint="eastAsia" w:ascii="Times New Roman" w:hAnsi="Times New Roman" w:cs="Times New Roman" w:eastAsiaTheme="minorEastAsia"/>
                <w:b/>
                <w:bCs/>
                <w:color w:val="auto"/>
                <w:kern w:val="2"/>
                <w:sz w:val="24"/>
                <w:szCs w:val="24"/>
                <w:lang w:val="en-US" w:eastAsia="zh-CN" w:bidi="ar-SA"/>
              </w:rPr>
              <w:t>检测</w:t>
            </w:r>
            <w:r>
              <w:rPr>
                <w:rFonts w:hint="default" w:ascii="Times New Roman" w:hAnsi="Times New Roman" w:cs="Times New Roman" w:eastAsiaTheme="minorEastAsia"/>
                <w:b/>
                <w:bCs/>
                <w:color w:val="auto"/>
                <w:kern w:val="2"/>
                <w:sz w:val="24"/>
                <w:szCs w:val="24"/>
                <w:lang w:val="en-US" w:eastAsia="zh-CN" w:bidi="ar-SA"/>
              </w:rPr>
              <w:t>内容一览表</w:t>
            </w:r>
          </w:p>
          <w:tbl>
            <w:tblPr>
              <w:tblStyle w:val="18"/>
              <w:tblW w:w="90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6"/>
              <w:gridCol w:w="1562"/>
              <w:gridCol w:w="1410"/>
              <w:gridCol w:w="1716"/>
              <w:gridCol w:w="3224"/>
            </w:tblGrid>
            <w:tr w14:paraId="4E660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1146" w:type="dxa"/>
                  <w:shd w:val="clear" w:color="auto" w:fill="auto"/>
                  <w:vAlign w:val="center"/>
                </w:tcPr>
                <w:p w14:paraId="53CC962D">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类别</w:t>
                  </w:r>
                </w:p>
              </w:tc>
              <w:tc>
                <w:tcPr>
                  <w:tcW w:w="1562" w:type="dxa"/>
                  <w:shd w:val="clear" w:color="auto" w:fill="auto"/>
                  <w:vAlign w:val="center"/>
                </w:tcPr>
                <w:p w14:paraId="24C9467D">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点位</w:t>
                  </w:r>
                </w:p>
              </w:tc>
              <w:tc>
                <w:tcPr>
                  <w:tcW w:w="1410" w:type="dxa"/>
                  <w:shd w:val="clear" w:color="auto" w:fill="auto"/>
                  <w:vAlign w:val="center"/>
                </w:tcPr>
                <w:p w14:paraId="08031944">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因子</w:t>
                  </w:r>
                </w:p>
              </w:tc>
              <w:tc>
                <w:tcPr>
                  <w:tcW w:w="1716" w:type="dxa"/>
                  <w:shd w:val="clear" w:color="auto" w:fill="auto"/>
                  <w:vAlign w:val="center"/>
                </w:tcPr>
                <w:p w14:paraId="59159427">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default" w:ascii="Times New Roman" w:hAnsi="Times New Roman" w:eastAsia="宋体" w:cs="Times New Roman"/>
                      <w:color w:val="auto"/>
                      <w:sz w:val="21"/>
                      <w:szCs w:val="21"/>
                      <w:vertAlign w:val="baseline"/>
                      <w:lang w:val="en-US" w:eastAsia="zh-CN"/>
                    </w:rPr>
                    <w:t>频次</w:t>
                  </w:r>
                </w:p>
              </w:tc>
              <w:tc>
                <w:tcPr>
                  <w:tcW w:w="3224" w:type="dxa"/>
                  <w:shd w:val="clear" w:color="auto" w:fill="auto"/>
                  <w:vAlign w:val="center"/>
                </w:tcPr>
                <w:p w14:paraId="2E18D5CB">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执行标准</w:t>
                  </w:r>
                </w:p>
              </w:tc>
            </w:tr>
            <w:tr w14:paraId="2DE02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46" w:type="dxa"/>
                  <w:vAlign w:val="center"/>
                </w:tcPr>
                <w:p w14:paraId="1E909F10">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厂界噪声</w:t>
                  </w:r>
                </w:p>
              </w:tc>
              <w:tc>
                <w:tcPr>
                  <w:tcW w:w="1562" w:type="dxa"/>
                  <w:vAlign w:val="center"/>
                </w:tcPr>
                <w:p w14:paraId="2643EF76">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厂界四周各设一监测点</w:t>
                  </w:r>
                </w:p>
              </w:tc>
              <w:tc>
                <w:tcPr>
                  <w:tcW w:w="1410" w:type="dxa"/>
                  <w:vAlign w:val="center"/>
                </w:tcPr>
                <w:p w14:paraId="7C200DEC">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等效A声级</w:t>
                  </w:r>
                </w:p>
              </w:tc>
              <w:tc>
                <w:tcPr>
                  <w:tcW w:w="1716" w:type="dxa"/>
                  <w:vAlign w:val="center"/>
                </w:tcPr>
                <w:p w14:paraId="4B2A32EE">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检</w:t>
                  </w:r>
                  <w:r>
                    <w:rPr>
                      <w:rFonts w:hint="default" w:ascii="Times New Roman" w:hAnsi="Times New Roman" w:cs="Times New Roman" w:eastAsiaTheme="minorEastAsia"/>
                      <w:color w:val="auto"/>
                      <w:sz w:val="21"/>
                      <w:szCs w:val="21"/>
                      <w:vertAlign w:val="baseline"/>
                      <w:lang w:val="en-US" w:eastAsia="zh-CN"/>
                    </w:rPr>
                    <w:t>测</w:t>
                  </w:r>
                  <w:r>
                    <w:rPr>
                      <w:rFonts w:hint="eastAsia" w:ascii="Times New Roman" w:hAnsi="Times New Roman" w:cs="Times New Roman" w:eastAsiaTheme="minorEastAsia"/>
                      <w:color w:val="auto"/>
                      <w:sz w:val="21"/>
                      <w:szCs w:val="21"/>
                      <w:vertAlign w:val="baseline"/>
                      <w:lang w:val="en-US" w:eastAsia="zh-CN"/>
                    </w:rPr>
                    <w:t>2</w:t>
                  </w:r>
                  <w:r>
                    <w:rPr>
                      <w:rFonts w:hint="default" w:ascii="Times New Roman" w:hAnsi="Times New Roman" w:eastAsia="宋体" w:cs="Times New Roman"/>
                      <w:color w:val="auto"/>
                      <w:sz w:val="21"/>
                      <w:szCs w:val="21"/>
                      <w:vertAlign w:val="baseline"/>
                      <w:lang w:val="en-US" w:eastAsia="zh-CN"/>
                    </w:rPr>
                    <w:t>天</w:t>
                  </w:r>
                  <w:r>
                    <w:rPr>
                      <w:rFonts w:hint="eastAsia" w:ascii="Times New Roman" w:hAnsi="Times New Roman" w:eastAsia="宋体" w:cs="Times New Roman"/>
                      <w:color w:val="auto"/>
                      <w:sz w:val="21"/>
                      <w:szCs w:val="21"/>
                      <w:vertAlign w:val="baseline"/>
                      <w:lang w:val="en-US" w:eastAsia="zh-CN"/>
                    </w:rPr>
                    <w:t>，</w:t>
                  </w:r>
                </w:p>
                <w:p w14:paraId="7102CF35">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每天昼夜各1</w:t>
                  </w:r>
                  <w:r>
                    <w:rPr>
                      <w:rFonts w:hint="default" w:ascii="Times New Roman" w:hAnsi="Times New Roman" w:eastAsia="宋体" w:cs="Times New Roman"/>
                      <w:color w:val="auto"/>
                      <w:sz w:val="21"/>
                      <w:szCs w:val="21"/>
                      <w:vertAlign w:val="baseline"/>
                      <w:lang w:val="en-US" w:eastAsia="zh-CN"/>
                    </w:rPr>
                    <w:t>次</w:t>
                  </w:r>
                </w:p>
              </w:tc>
              <w:tc>
                <w:tcPr>
                  <w:tcW w:w="3224" w:type="dxa"/>
                  <w:vAlign w:val="center"/>
                </w:tcPr>
                <w:p w14:paraId="7F34A527">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rPr>
                    <w:t>《工业企业厂界环境噪声排放标准》GB12348-20</w:t>
                  </w:r>
                  <w:r>
                    <w:rPr>
                      <w:rFonts w:hint="default" w:ascii="Times New Roman" w:hAnsi="Times New Roman" w:eastAsia="宋体" w:cs="Times New Roman"/>
                      <w:b w:val="0"/>
                      <w:bCs w:val="0"/>
                      <w:color w:val="auto"/>
                      <w:sz w:val="21"/>
                      <w:szCs w:val="21"/>
                      <w:lang w:val="en-US" w:eastAsia="zh-CN"/>
                    </w:rPr>
                    <w:t>0</w:t>
                  </w:r>
                  <w:r>
                    <w:rPr>
                      <w:rFonts w:hint="default" w:ascii="Times New Roman" w:hAnsi="Times New Roman" w:eastAsia="宋体" w:cs="Times New Roman"/>
                      <w:b w:val="0"/>
                      <w:bCs w:val="0"/>
                      <w:color w:val="auto"/>
                      <w:sz w:val="21"/>
                      <w:szCs w:val="21"/>
                    </w:rPr>
                    <w:t>8</w:t>
                  </w:r>
                  <w:r>
                    <w:rPr>
                      <w:rFonts w:hint="default" w:ascii="Times New Roman" w:hAnsi="Times New Roman" w:eastAsia="宋体" w:cs="Times New Roman"/>
                      <w:b w:val="0"/>
                      <w:bCs w:val="0"/>
                      <w:color w:val="auto"/>
                      <w:sz w:val="21"/>
                      <w:szCs w:val="21"/>
                      <w:lang w:eastAsia="zh-CN"/>
                    </w:rPr>
                    <w:t>中</w:t>
                  </w:r>
                  <w:r>
                    <w:rPr>
                      <w:rFonts w:hint="eastAsia" w:ascii="Times New Roman" w:hAnsi="Times New Roman" w:eastAsia="宋体" w:cs="Times New Roman"/>
                      <w:b w:val="0"/>
                      <w:bCs w:val="0"/>
                      <w:color w:val="auto"/>
                      <w:sz w:val="21"/>
                      <w:szCs w:val="21"/>
                      <w:lang w:val="en-US" w:eastAsia="zh-CN"/>
                    </w:rPr>
                    <w:t>2</w:t>
                  </w:r>
                  <w:r>
                    <w:rPr>
                      <w:rFonts w:hint="default" w:ascii="Times New Roman" w:hAnsi="Times New Roman" w:eastAsia="宋体" w:cs="Times New Roman"/>
                      <w:b w:val="0"/>
                      <w:bCs w:val="0"/>
                      <w:color w:val="auto"/>
                      <w:sz w:val="21"/>
                      <w:szCs w:val="21"/>
                    </w:rPr>
                    <w:t>类标准</w:t>
                  </w:r>
                  <w:r>
                    <w:rPr>
                      <w:rFonts w:hint="default" w:ascii="Times New Roman" w:hAnsi="Times New Roman" w:eastAsia="宋体" w:cs="Times New Roman"/>
                      <w:b w:val="0"/>
                      <w:bCs w:val="0"/>
                      <w:color w:val="auto"/>
                      <w:sz w:val="21"/>
                      <w:szCs w:val="21"/>
                      <w:lang w:eastAsia="zh-CN"/>
                    </w:rPr>
                    <w:t>（昼间</w:t>
                  </w:r>
                  <w:r>
                    <w:rPr>
                      <w:rFonts w:hint="default" w:ascii="Times New Roman" w:hAnsi="Times New Roman" w:eastAsia="宋体" w:cs="Times New Roman"/>
                      <w:b w:val="0"/>
                      <w:bCs w:val="0"/>
                      <w:color w:val="auto"/>
                      <w:sz w:val="21"/>
                      <w:szCs w:val="21"/>
                      <w:lang w:val="en-US" w:eastAsia="zh-CN"/>
                    </w:rPr>
                    <w:t>6</w:t>
                  </w:r>
                  <w:r>
                    <w:rPr>
                      <w:rFonts w:hint="eastAsia" w:ascii="Times New Roman" w:hAnsi="Times New Roman" w:eastAsia="宋体" w:cs="Times New Roman"/>
                      <w:b w:val="0"/>
                      <w:bCs w:val="0"/>
                      <w:color w:val="auto"/>
                      <w:sz w:val="21"/>
                      <w:szCs w:val="21"/>
                      <w:lang w:val="en-US" w:eastAsia="zh-CN"/>
                    </w:rPr>
                    <w:t>0</w:t>
                  </w:r>
                  <w:r>
                    <w:rPr>
                      <w:rFonts w:hint="default" w:ascii="Times New Roman" w:hAnsi="Times New Roman" w:eastAsia="宋体" w:cs="Times New Roman"/>
                      <w:b w:val="0"/>
                      <w:bCs w:val="0"/>
                      <w:color w:val="auto"/>
                      <w:sz w:val="21"/>
                      <w:szCs w:val="21"/>
                      <w:lang w:val="en-US" w:eastAsia="zh-CN"/>
                    </w:rPr>
                    <w:t>dB（A）</w:t>
                  </w:r>
                  <w:r>
                    <w:rPr>
                      <w:rFonts w:hint="eastAsia" w:ascii="Times New Roman" w:hAnsi="Times New Roman" w:eastAsia="宋体" w:cs="Times New Roman"/>
                      <w:b w:val="0"/>
                      <w:bCs w:val="0"/>
                      <w:color w:val="auto"/>
                      <w:sz w:val="21"/>
                      <w:szCs w:val="21"/>
                      <w:lang w:val="en-US" w:eastAsia="zh-CN"/>
                    </w:rPr>
                    <w:t>、夜间50dB（A）</w:t>
                  </w:r>
                  <w:r>
                    <w:rPr>
                      <w:rFonts w:hint="default" w:ascii="Times New Roman" w:hAnsi="Times New Roman" w:eastAsia="宋体" w:cs="Times New Roman"/>
                      <w:b w:val="0"/>
                      <w:bCs w:val="0"/>
                      <w:color w:val="auto"/>
                      <w:sz w:val="21"/>
                      <w:szCs w:val="21"/>
                      <w:lang w:eastAsia="zh-CN"/>
                    </w:rPr>
                    <w:t>）</w:t>
                  </w:r>
                </w:p>
              </w:tc>
            </w:tr>
          </w:tbl>
          <w:p w14:paraId="48BB6F9D">
            <w:pPr>
              <w:pStyle w:val="3"/>
              <w:pageBreakBefore w:val="0"/>
              <w:widowControl/>
              <w:kinsoku/>
              <w:wordWrap/>
              <w:overflowPunct/>
              <w:topLinePunct w:val="0"/>
              <w:autoSpaceDE/>
              <w:autoSpaceDN/>
              <w:bidi w:val="0"/>
              <w:adjustRightInd/>
              <w:snapToGrid/>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eastAsia" w:cs="Times New Roman" w:eastAsiaTheme="minorEastAsia"/>
                <w:color w:val="000000" w:themeColor="text1"/>
                <w:sz w:val="24"/>
                <w:szCs w:val="24"/>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固体废物</w:t>
            </w:r>
            <w:r>
              <w:rPr>
                <w:rFonts w:hint="eastAsia" w:cs="Times New Roman" w:eastAsiaTheme="minorEastAsia"/>
                <w:color w:val="000000" w:themeColor="text1"/>
                <w:sz w:val="24"/>
                <w:szCs w:val="24"/>
                <w:lang w:val="en-US" w:eastAsia="zh-CN"/>
                <w14:textFill>
                  <w14:solidFill>
                    <w14:schemeClr w14:val="tx1"/>
                  </w14:solidFill>
                </w14:textFill>
              </w:rPr>
              <w:t>检</w:t>
            </w:r>
            <w:r>
              <w:rPr>
                <w:rFonts w:hint="default" w:ascii="Times New Roman" w:hAnsi="Times New Roman" w:cs="Times New Roman" w:eastAsiaTheme="minorEastAsia"/>
                <w:color w:val="000000" w:themeColor="text1"/>
                <w:sz w:val="24"/>
                <w:szCs w:val="24"/>
                <w14:textFill>
                  <w14:solidFill>
                    <w14:schemeClr w14:val="tx1"/>
                  </w14:solidFill>
                </w14:textFill>
              </w:rPr>
              <w:t>测</w:t>
            </w:r>
          </w:p>
          <w:p w14:paraId="3949B885">
            <w:pPr>
              <w:pStyle w:val="28"/>
              <w:pageBreakBefore w:val="0"/>
              <w:kinsoku/>
              <w:wordWrap/>
              <w:overflowPunct/>
              <w:topLinePunct w:val="0"/>
              <w:autoSpaceDE/>
              <w:autoSpaceDN/>
              <w:bidi w:val="0"/>
              <w:adjustRightInd/>
              <w:snapToGrid/>
              <w:spacing w:line="520" w:lineRule="exact"/>
              <w:ind w:left="0" w:leftChars="0" w:firstLine="480" w:firstLineChars="200"/>
              <w:textAlignment w:val="auto"/>
              <w:rPr>
                <w:rFonts w:hint="default" w:ascii="Times New Roman" w:hAnsi="Times New Roman" w:eastAsia="仿宋_GB2312" w:cs="Times New Roman"/>
                <w:color w:val="FF0000"/>
                <w:szCs w:val="21"/>
                <w:lang w:val="en-US" w:eastAsia="zh-CN"/>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本项目固体废物均不外排，因此本次验收调查固体废物处置和堆场建设情况是满足环评批复要求。</w:t>
            </w:r>
          </w:p>
        </w:tc>
      </w:tr>
    </w:tbl>
    <w:p w14:paraId="4007B71F">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表七</w:t>
      </w:r>
    </w:p>
    <w:tbl>
      <w:tblPr>
        <w:tblStyle w:val="17"/>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14:paraId="665C1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288" w:type="dxa"/>
            <w:vAlign w:val="top"/>
          </w:tcPr>
          <w:p w14:paraId="1CECB5A1">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期间生产工况记录：</w:t>
            </w:r>
          </w:p>
          <w:p w14:paraId="57EBB104">
            <w:pPr>
              <w:keepNext w:val="0"/>
              <w:keepLines w:val="0"/>
              <w:pageBreakBefore w:val="0"/>
              <w:widowControl/>
              <w:numPr>
                <w:ilvl w:val="0"/>
                <w:numId w:val="1"/>
              </w:numPr>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期间该公司生产负荷满足验收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工况的要求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4A3BA1DF">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eastAsia="仿宋_GB2312" w:cs="Times New Roman"/>
                <w:color w:val="FF0000"/>
                <w:sz w:val="21"/>
                <w:szCs w:val="21"/>
              </w:rPr>
            </w:pPr>
            <w:r>
              <w:rPr>
                <w:rFonts w:hint="default" w:ascii="Times New Roman" w:hAnsi="Times New Roman" w:cs="Times New Roman" w:eastAsiaTheme="minorEastAsia"/>
                <w:color w:val="000000" w:themeColor="text1"/>
                <w:sz w:val="24"/>
                <w:szCs w:val="21"/>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期间，各生产设施运行正常。</w:t>
            </w:r>
          </w:p>
        </w:tc>
      </w:tr>
      <w:tr w14:paraId="1CD4B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91" w:hRule="atLeast"/>
          <w:jc w:val="center"/>
        </w:trPr>
        <w:tc>
          <w:tcPr>
            <w:tcW w:w="9288" w:type="dxa"/>
            <w:vAlign w:val="top"/>
          </w:tcPr>
          <w:p w14:paraId="0F4D5239">
            <w:pPr>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验收</w:t>
            </w: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检测</w:t>
            </w:r>
            <w:r>
              <w:rPr>
                <w:rFonts w:hint="default" w:ascii="Times New Roman" w:hAnsi="Times New Roman" w:eastAsia="宋体" w:cs="Times New Roman"/>
                <w:b/>
                <w:bCs/>
                <w:color w:val="000000" w:themeColor="text1"/>
                <w:sz w:val="24"/>
                <w:szCs w:val="24"/>
                <w14:textFill>
                  <w14:solidFill>
                    <w14:schemeClr w14:val="tx1"/>
                  </w14:solidFill>
                </w14:textFill>
              </w:rPr>
              <w:t>结果：</w:t>
            </w:r>
          </w:p>
          <w:p w14:paraId="6BC535E7">
            <w:pPr>
              <w:keepNext w:val="0"/>
              <w:keepLines w:val="0"/>
              <w:pageBreakBefore w:val="0"/>
              <w:widowControl/>
              <w:numPr>
                <w:ilvl w:val="0"/>
                <w:numId w:val="2"/>
              </w:numPr>
              <w:kinsoku/>
              <w:wordWrap/>
              <w:overflowPunct/>
              <w:topLinePunct w:val="0"/>
              <w:autoSpaceDE/>
              <w:autoSpaceDN/>
              <w:bidi w:val="0"/>
              <w:adjustRightInd/>
              <w:snapToGrid/>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eastAsia" w:ascii="Times New Roman" w:hAnsi="Times New Roman" w:cs="Times New Roman" w:eastAsiaTheme="minorEastAsia"/>
                <w:b/>
                <w:bCs/>
                <w:color w:val="000000" w:themeColor="text1"/>
                <w:sz w:val="24"/>
                <w:szCs w:val="24"/>
                <w:lang w:eastAsia="zh-CN"/>
                <w14:textFill>
                  <w14:solidFill>
                    <w14:schemeClr w14:val="tx1"/>
                  </w14:solidFill>
                </w14:textFill>
              </w:rPr>
              <w:t>废气</w:t>
            </w: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检测</w:t>
            </w:r>
          </w:p>
          <w:p w14:paraId="63FAB344">
            <w:pPr>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本项目</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废气检测</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结果见</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下表。</w:t>
            </w:r>
          </w:p>
          <w:p w14:paraId="7B416A3B">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15   有组织废气检测</w:t>
            </w:r>
            <w:r>
              <w:rPr>
                <w:rFonts w:hint="default" w:ascii="Times New Roman" w:hAnsi="Times New Roman" w:cs="Times New Roman" w:eastAsiaTheme="minorEastAsia"/>
                <w:b/>
                <w:bCs/>
                <w:color w:val="auto"/>
                <w:kern w:val="2"/>
                <w:sz w:val="24"/>
                <w:szCs w:val="24"/>
                <w:lang w:val="en-US" w:eastAsia="zh-CN" w:bidi="ar-SA"/>
              </w:rPr>
              <w:t>结果</w:t>
            </w:r>
          </w:p>
          <w:tbl>
            <w:tblPr>
              <w:tblStyle w:val="17"/>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71"/>
              <w:gridCol w:w="910"/>
              <w:gridCol w:w="649"/>
              <w:gridCol w:w="1181"/>
              <w:gridCol w:w="1335"/>
              <w:gridCol w:w="1335"/>
              <w:gridCol w:w="1335"/>
              <w:gridCol w:w="1342"/>
            </w:tblGrid>
            <w:tr w14:paraId="391FA2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atLeast"/>
                <w:jc w:val="center"/>
              </w:trPr>
              <w:tc>
                <w:tcPr>
                  <w:tcW w:w="536" w:type="pct"/>
                  <w:tcBorders>
                    <w:tl2br w:val="nil"/>
                    <w:tr2bl w:val="nil"/>
                  </w:tcBorders>
                  <w:vAlign w:val="center"/>
                </w:tcPr>
                <w:p w14:paraId="0D3E30D8">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检测点位</w:t>
                  </w:r>
                </w:p>
              </w:tc>
              <w:tc>
                <w:tcPr>
                  <w:tcW w:w="502" w:type="pct"/>
                  <w:tcBorders>
                    <w:tl2br w:val="nil"/>
                    <w:tr2bl w:val="nil"/>
                  </w:tcBorders>
                  <w:vAlign w:val="center"/>
                </w:tcPr>
                <w:p w14:paraId="228187CC">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采样</w:t>
                  </w:r>
                  <w:r>
                    <w:rPr>
                      <w:rFonts w:hint="default" w:ascii="Times New Roman" w:hAnsi="Times New Roman" w:eastAsia="宋体" w:cs="Times New Roman"/>
                      <w:color w:val="auto"/>
                      <w:kern w:val="2"/>
                      <w:sz w:val="18"/>
                      <w:szCs w:val="18"/>
                      <w:highlight w:val="none"/>
                      <w:lang w:val="en-US" w:eastAsia="zh-CN" w:bidi="ar-SA"/>
                    </w:rPr>
                    <w:t>日期</w:t>
                  </w:r>
                </w:p>
              </w:tc>
              <w:tc>
                <w:tcPr>
                  <w:tcW w:w="358" w:type="pct"/>
                  <w:tcBorders>
                    <w:tl2br w:val="nil"/>
                    <w:tr2bl w:val="nil"/>
                  </w:tcBorders>
                  <w:vAlign w:val="center"/>
                </w:tcPr>
                <w:p w14:paraId="6B1F47A5">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测次</w:t>
                  </w:r>
                </w:p>
              </w:tc>
              <w:tc>
                <w:tcPr>
                  <w:tcW w:w="652" w:type="pct"/>
                  <w:tcBorders>
                    <w:tl2br w:val="nil"/>
                    <w:tr2bl w:val="nil"/>
                  </w:tcBorders>
                  <w:vAlign w:val="center"/>
                </w:tcPr>
                <w:p w14:paraId="550FC93A">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kern w:val="2"/>
                      <w:sz w:val="18"/>
                      <w:szCs w:val="18"/>
                      <w:highlight w:val="none"/>
                      <w:lang w:val="en-US" w:eastAsia="zh-CN" w:bidi="ar-SA"/>
                    </w:rPr>
                    <w:t>废气量 (m</w:t>
                  </w:r>
                  <w:r>
                    <w:rPr>
                      <w:rFonts w:hint="default" w:ascii="Times New Roman" w:hAnsi="Times New Roman" w:eastAsia="宋体" w:cs="Times New Roman"/>
                      <w:color w:val="auto"/>
                      <w:kern w:val="2"/>
                      <w:sz w:val="18"/>
                      <w:szCs w:val="18"/>
                      <w:highlight w:val="none"/>
                      <w:vertAlign w:val="superscript"/>
                      <w:lang w:val="en-US" w:eastAsia="zh-CN" w:bidi="ar-SA"/>
                    </w:rPr>
                    <w:t>3</w:t>
                  </w:r>
                  <w:r>
                    <w:rPr>
                      <w:rFonts w:hint="default" w:ascii="Times New Roman" w:hAnsi="Times New Roman" w:eastAsia="宋体" w:cs="Times New Roman"/>
                      <w:color w:val="auto"/>
                      <w:kern w:val="2"/>
                      <w:sz w:val="18"/>
                      <w:szCs w:val="18"/>
                      <w:highlight w:val="none"/>
                      <w:lang w:val="en-US" w:eastAsia="zh-CN" w:bidi="ar-SA"/>
                    </w:rPr>
                    <w:t>/h)</w:t>
                  </w:r>
                </w:p>
              </w:tc>
              <w:tc>
                <w:tcPr>
                  <w:tcW w:w="737" w:type="pct"/>
                  <w:tcBorders>
                    <w:tl2br w:val="nil"/>
                    <w:tr2bl w:val="nil"/>
                  </w:tcBorders>
                  <w:vAlign w:val="center"/>
                </w:tcPr>
                <w:p w14:paraId="72E17712">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非甲烷总烃</w:t>
                  </w:r>
                  <w:r>
                    <w:rPr>
                      <w:rFonts w:hint="default" w:ascii="Times New Roman" w:hAnsi="Times New Roman" w:eastAsia="宋体" w:cs="Times New Roman"/>
                      <w:color w:val="auto"/>
                      <w:kern w:val="2"/>
                      <w:sz w:val="18"/>
                      <w:szCs w:val="18"/>
                      <w:highlight w:val="none"/>
                      <w:lang w:val="en-US" w:eastAsia="zh-CN" w:bidi="ar-SA"/>
                    </w:rPr>
                    <w:t>排放浓度(mg/m</w:t>
                  </w:r>
                  <w:r>
                    <w:rPr>
                      <w:rFonts w:hint="default" w:ascii="Times New Roman" w:hAnsi="Times New Roman" w:eastAsia="宋体" w:cs="Times New Roman"/>
                      <w:color w:val="auto"/>
                      <w:kern w:val="2"/>
                      <w:sz w:val="18"/>
                      <w:szCs w:val="18"/>
                      <w:highlight w:val="none"/>
                      <w:vertAlign w:val="superscript"/>
                      <w:lang w:val="en-US" w:eastAsia="zh-CN" w:bidi="ar-SA"/>
                    </w:rPr>
                    <w:t>3</w:t>
                  </w:r>
                  <w:r>
                    <w:rPr>
                      <w:rFonts w:hint="default" w:ascii="Times New Roman" w:hAnsi="Times New Roman" w:eastAsia="宋体" w:cs="Times New Roman"/>
                      <w:color w:val="auto"/>
                      <w:kern w:val="2"/>
                      <w:sz w:val="18"/>
                      <w:szCs w:val="18"/>
                      <w:highlight w:val="none"/>
                      <w:lang w:val="en-US" w:eastAsia="zh-CN" w:bidi="ar-SA"/>
                    </w:rPr>
                    <w:t>)</w:t>
                  </w:r>
                </w:p>
              </w:tc>
              <w:tc>
                <w:tcPr>
                  <w:tcW w:w="737" w:type="pct"/>
                  <w:tcBorders>
                    <w:tl2br w:val="nil"/>
                    <w:tr2bl w:val="nil"/>
                  </w:tcBorders>
                  <w:vAlign w:val="center"/>
                </w:tcPr>
                <w:p w14:paraId="6A96D316">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非甲烷总烃</w:t>
                  </w:r>
                  <w:r>
                    <w:rPr>
                      <w:rFonts w:hint="default" w:ascii="Times New Roman" w:hAnsi="Times New Roman" w:eastAsia="宋体" w:cs="Times New Roman"/>
                      <w:color w:val="auto"/>
                      <w:kern w:val="2"/>
                      <w:sz w:val="18"/>
                      <w:szCs w:val="18"/>
                      <w:highlight w:val="none"/>
                      <w:lang w:val="en-US" w:eastAsia="zh-CN" w:bidi="ar-SA"/>
                    </w:rPr>
                    <w:t>排放速率(kg/h)</w:t>
                  </w:r>
                </w:p>
              </w:tc>
              <w:tc>
                <w:tcPr>
                  <w:tcW w:w="737" w:type="pct"/>
                  <w:tcBorders>
                    <w:tl2br w:val="nil"/>
                    <w:tr2bl w:val="nil"/>
                  </w:tcBorders>
                  <w:vAlign w:val="center"/>
                </w:tcPr>
                <w:p w14:paraId="1005344D">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颗粒物</w:t>
                  </w:r>
                  <w:r>
                    <w:rPr>
                      <w:rFonts w:hint="default" w:ascii="Times New Roman" w:hAnsi="Times New Roman" w:eastAsia="宋体" w:cs="Times New Roman"/>
                      <w:color w:val="auto"/>
                      <w:kern w:val="2"/>
                      <w:sz w:val="18"/>
                      <w:szCs w:val="18"/>
                      <w:highlight w:val="none"/>
                      <w:lang w:val="en-US" w:eastAsia="zh-CN" w:bidi="ar-SA"/>
                    </w:rPr>
                    <w:t>排放浓度(mg/m</w:t>
                  </w:r>
                  <w:r>
                    <w:rPr>
                      <w:rFonts w:hint="default" w:ascii="Times New Roman" w:hAnsi="Times New Roman" w:eastAsia="宋体" w:cs="Times New Roman"/>
                      <w:color w:val="auto"/>
                      <w:kern w:val="2"/>
                      <w:sz w:val="18"/>
                      <w:szCs w:val="18"/>
                      <w:highlight w:val="none"/>
                      <w:vertAlign w:val="superscript"/>
                      <w:lang w:val="en-US" w:eastAsia="zh-CN" w:bidi="ar-SA"/>
                    </w:rPr>
                    <w:t>3</w:t>
                  </w:r>
                  <w:r>
                    <w:rPr>
                      <w:rFonts w:hint="default" w:ascii="Times New Roman" w:hAnsi="Times New Roman" w:eastAsia="宋体" w:cs="Times New Roman"/>
                      <w:color w:val="auto"/>
                      <w:kern w:val="2"/>
                      <w:sz w:val="18"/>
                      <w:szCs w:val="18"/>
                      <w:highlight w:val="none"/>
                      <w:lang w:val="en-US" w:eastAsia="zh-CN" w:bidi="ar-SA"/>
                    </w:rPr>
                    <w:t>)</w:t>
                  </w:r>
                </w:p>
              </w:tc>
              <w:tc>
                <w:tcPr>
                  <w:tcW w:w="740" w:type="pct"/>
                  <w:tcBorders>
                    <w:tl2br w:val="nil"/>
                    <w:tr2bl w:val="nil"/>
                  </w:tcBorders>
                  <w:vAlign w:val="center"/>
                </w:tcPr>
                <w:p w14:paraId="6C67DE1A">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eastAsia" w:cs="Times New Roman"/>
                      <w:color w:val="auto"/>
                      <w:kern w:val="2"/>
                      <w:sz w:val="18"/>
                      <w:szCs w:val="18"/>
                      <w:highlight w:val="none"/>
                      <w:lang w:val="en-US" w:eastAsia="zh-CN" w:bidi="ar-SA"/>
                    </w:rPr>
                  </w:pPr>
                  <w:r>
                    <w:rPr>
                      <w:rFonts w:hint="eastAsia" w:cs="Times New Roman"/>
                      <w:color w:val="auto"/>
                      <w:kern w:val="2"/>
                      <w:sz w:val="18"/>
                      <w:szCs w:val="18"/>
                      <w:highlight w:val="none"/>
                      <w:lang w:val="en-US" w:eastAsia="zh-CN" w:bidi="ar-SA"/>
                    </w:rPr>
                    <w:t>颗粒物</w:t>
                  </w:r>
                  <w:r>
                    <w:rPr>
                      <w:rFonts w:hint="default" w:ascii="Times New Roman" w:hAnsi="Times New Roman" w:eastAsia="宋体" w:cs="Times New Roman"/>
                      <w:color w:val="auto"/>
                      <w:kern w:val="2"/>
                      <w:sz w:val="18"/>
                      <w:szCs w:val="18"/>
                      <w:highlight w:val="none"/>
                      <w:lang w:val="en-US" w:eastAsia="zh-CN" w:bidi="ar-SA"/>
                    </w:rPr>
                    <w:t>排放速率(kg/h)</w:t>
                  </w:r>
                </w:p>
              </w:tc>
            </w:tr>
            <w:tr w14:paraId="7D4783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atLeast"/>
                <w:jc w:val="center"/>
              </w:trPr>
              <w:tc>
                <w:tcPr>
                  <w:tcW w:w="536" w:type="pct"/>
                  <w:vMerge w:val="restart"/>
                  <w:tcBorders>
                    <w:tl2br w:val="nil"/>
                    <w:tr2bl w:val="nil"/>
                  </w:tcBorders>
                  <w:vAlign w:val="center"/>
                </w:tcPr>
                <w:p w14:paraId="51D3172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sz w:val="18"/>
                      <w:szCs w:val="18"/>
                      <w:highlight w:val="none"/>
                      <w:lang w:val="en-US" w:eastAsia="zh-CN"/>
                    </w:rPr>
                    <w:t>环保设备进口</w:t>
                  </w:r>
                </w:p>
              </w:tc>
              <w:tc>
                <w:tcPr>
                  <w:tcW w:w="502" w:type="pct"/>
                  <w:vMerge w:val="restart"/>
                  <w:tcBorders>
                    <w:tl2br w:val="nil"/>
                    <w:tr2bl w:val="nil"/>
                  </w:tcBorders>
                  <w:vAlign w:val="center"/>
                </w:tcPr>
                <w:p w14:paraId="2DFCEF55">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val="0"/>
                      <w:bCs w:val="0"/>
                      <w:color w:val="auto"/>
                      <w:kern w:val="0"/>
                      <w:sz w:val="18"/>
                      <w:szCs w:val="18"/>
                      <w:highlight w:val="none"/>
                      <w:lang w:val="en-US" w:eastAsia="zh-CN"/>
                    </w:rPr>
                  </w:pPr>
                  <w:r>
                    <w:rPr>
                      <w:rFonts w:hint="default" w:ascii="Times New Roman" w:hAnsi="Times New Roman" w:cs="Times New Roman"/>
                      <w:b w:val="0"/>
                      <w:bCs w:val="0"/>
                      <w:color w:val="auto"/>
                      <w:kern w:val="0"/>
                      <w:sz w:val="18"/>
                      <w:szCs w:val="18"/>
                      <w:highlight w:val="none"/>
                      <w:lang w:val="en-US" w:eastAsia="zh-CN"/>
                    </w:rPr>
                    <w:t>2025.8.22</w:t>
                  </w:r>
                </w:p>
              </w:tc>
              <w:tc>
                <w:tcPr>
                  <w:tcW w:w="358" w:type="pct"/>
                  <w:tcBorders>
                    <w:tl2br w:val="nil"/>
                    <w:tr2bl w:val="nil"/>
                  </w:tcBorders>
                  <w:vAlign w:val="center"/>
                </w:tcPr>
                <w:p w14:paraId="58A19E9F">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val="0"/>
                      <w:bCs w:val="0"/>
                      <w:color w:val="auto"/>
                      <w:kern w:val="0"/>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w:t>
                  </w:r>
                </w:p>
              </w:tc>
              <w:tc>
                <w:tcPr>
                  <w:tcW w:w="652" w:type="pct"/>
                  <w:tcBorders>
                    <w:tl2br w:val="nil"/>
                    <w:tr2bl w:val="nil"/>
                  </w:tcBorders>
                  <w:vAlign w:val="center"/>
                </w:tcPr>
                <w:p w14:paraId="2173AB4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9.24×10</w:t>
                  </w:r>
                  <w:r>
                    <w:rPr>
                      <w:rFonts w:hint="default" w:ascii="Times New Roman" w:hAnsi="Times New Roman" w:cs="Times New Roman"/>
                      <w:color w:val="auto"/>
                      <w:sz w:val="18"/>
                      <w:szCs w:val="18"/>
                      <w:highlight w:val="none"/>
                      <w:vertAlign w:val="superscript"/>
                      <w:lang w:val="en-US" w:eastAsia="zh-CN"/>
                    </w:rPr>
                    <w:t>3</w:t>
                  </w:r>
                </w:p>
              </w:tc>
              <w:tc>
                <w:tcPr>
                  <w:tcW w:w="737" w:type="pct"/>
                  <w:tcBorders>
                    <w:tl2br w:val="nil"/>
                    <w:tr2bl w:val="nil"/>
                  </w:tcBorders>
                  <w:vAlign w:val="center"/>
                </w:tcPr>
                <w:p w14:paraId="4061E5C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70.3 </w:t>
                  </w:r>
                </w:p>
              </w:tc>
              <w:tc>
                <w:tcPr>
                  <w:tcW w:w="737" w:type="pct"/>
                  <w:tcBorders>
                    <w:tl2br w:val="nil"/>
                    <w:tr2bl w:val="nil"/>
                  </w:tcBorders>
                  <w:vAlign w:val="center"/>
                </w:tcPr>
                <w:p w14:paraId="46B8469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0.650 </w:t>
                  </w:r>
                </w:p>
              </w:tc>
              <w:tc>
                <w:tcPr>
                  <w:tcW w:w="737" w:type="pct"/>
                  <w:tcBorders>
                    <w:tl2br w:val="nil"/>
                    <w:tr2bl w:val="nil"/>
                  </w:tcBorders>
                  <w:vAlign w:val="center"/>
                </w:tcPr>
                <w:p w14:paraId="15593E8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177 </w:t>
                  </w:r>
                </w:p>
              </w:tc>
              <w:tc>
                <w:tcPr>
                  <w:tcW w:w="740" w:type="pct"/>
                  <w:tcBorders>
                    <w:tl2br w:val="nil"/>
                    <w:tr2bl w:val="nil"/>
                  </w:tcBorders>
                  <w:vAlign w:val="center"/>
                </w:tcPr>
                <w:p w14:paraId="2C76814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1.64 </w:t>
                  </w:r>
                </w:p>
              </w:tc>
            </w:tr>
            <w:tr w14:paraId="3ED915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atLeast"/>
                <w:jc w:val="center"/>
              </w:trPr>
              <w:tc>
                <w:tcPr>
                  <w:tcW w:w="536" w:type="pct"/>
                  <w:vMerge w:val="continue"/>
                  <w:tcBorders>
                    <w:tl2br w:val="nil"/>
                    <w:tr2bl w:val="nil"/>
                  </w:tcBorders>
                  <w:vAlign w:val="center"/>
                </w:tcPr>
                <w:p w14:paraId="28493E00">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18"/>
                      <w:szCs w:val="18"/>
                      <w:highlight w:val="none"/>
                      <w:lang w:val="en-US" w:eastAsia="zh-CN" w:bidi="ar-SA"/>
                    </w:rPr>
                  </w:pPr>
                </w:p>
              </w:tc>
              <w:tc>
                <w:tcPr>
                  <w:tcW w:w="502" w:type="pct"/>
                  <w:vMerge w:val="continue"/>
                  <w:tcBorders>
                    <w:tl2br w:val="nil"/>
                    <w:tr2bl w:val="nil"/>
                  </w:tcBorders>
                  <w:vAlign w:val="center"/>
                </w:tcPr>
                <w:p w14:paraId="7C4CAD2D">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val="0"/>
                      <w:bCs w:val="0"/>
                      <w:color w:val="auto"/>
                      <w:kern w:val="0"/>
                      <w:sz w:val="18"/>
                      <w:szCs w:val="18"/>
                      <w:highlight w:val="none"/>
                      <w:lang w:eastAsia="zh-CN"/>
                    </w:rPr>
                  </w:pPr>
                </w:p>
              </w:tc>
              <w:tc>
                <w:tcPr>
                  <w:tcW w:w="358" w:type="pct"/>
                  <w:tcBorders>
                    <w:tl2br w:val="nil"/>
                    <w:tr2bl w:val="nil"/>
                  </w:tcBorders>
                  <w:vAlign w:val="center"/>
                </w:tcPr>
                <w:p w14:paraId="199F4FC4">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val="0"/>
                      <w:bCs w:val="0"/>
                      <w:color w:val="auto"/>
                      <w:kern w:val="0"/>
                      <w:sz w:val="18"/>
                      <w:szCs w:val="18"/>
                      <w:highlight w:val="none"/>
                      <w:lang w:eastAsia="zh-CN"/>
                    </w:rPr>
                  </w:pPr>
                  <w:r>
                    <w:rPr>
                      <w:rFonts w:hint="default" w:ascii="Times New Roman" w:hAnsi="Times New Roman" w:eastAsia="宋体" w:cs="Times New Roman"/>
                      <w:color w:val="auto"/>
                      <w:kern w:val="0"/>
                      <w:sz w:val="18"/>
                      <w:szCs w:val="18"/>
                      <w:highlight w:val="none"/>
                    </w:rPr>
                    <w:t>2</w:t>
                  </w:r>
                </w:p>
              </w:tc>
              <w:tc>
                <w:tcPr>
                  <w:tcW w:w="652" w:type="pct"/>
                  <w:tcBorders>
                    <w:tl2br w:val="nil"/>
                    <w:tr2bl w:val="nil"/>
                  </w:tcBorders>
                  <w:vAlign w:val="center"/>
                </w:tcPr>
                <w:p w14:paraId="5361170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9.28×10</w:t>
                  </w:r>
                  <w:r>
                    <w:rPr>
                      <w:rFonts w:hint="default" w:ascii="Times New Roman" w:hAnsi="Times New Roman" w:cs="Times New Roman"/>
                      <w:color w:val="auto"/>
                      <w:sz w:val="18"/>
                      <w:szCs w:val="18"/>
                      <w:highlight w:val="none"/>
                      <w:vertAlign w:val="superscript"/>
                      <w:lang w:val="en-US" w:eastAsia="zh-CN"/>
                    </w:rPr>
                    <w:t>3</w:t>
                  </w:r>
                </w:p>
              </w:tc>
              <w:tc>
                <w:tcPr>
                  <w:tcW w:w="737" w:type="pct"/>
                  <w:tcBorders>
                    <w:tl2br w:val="nil"/>
                    <w:tr2bl w:val="nil"/>
                  </w:tcBorders>
                  <w:vAlign w:val="center"/>
                </w:tcPr>
                <w:p w14:paraId="55B6881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71.8 </w:t>
                  </w:r>
                </w:p>
              </w:tc>
              <w:tc>
                <w:tcPr>
                  <w:tcW w:w="737" w:type="pct"/>
                  <w:tcBorders>
                    <w:tl2br w:val="nil"/>
                    <w:tr2bl w:val="nil"/>
                  </w:tcBorders>
                  <w:vAlign w:val="center"/>
                </w:tcPr>
                <w:p w14:paraId="1E693AF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0.666 </w:t>
                  </w:r>
                </w:p>
              </w:tc>
              <w:tc>
                <w:tcPr>
                  <w:tcW w:w="737" w:type="pct"/>
                  <w:tcBorders>
                    <w:tl2br w:val="nil"/>
                    <w:tr2bl w:val="nil"/>
                  </w:tcBorders>
                  <w:vAlign w:val="center"/>
                </w:tcPr>
                <w:p w14:paraId="1C386C0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165 </w:t>
                  </w:r>
                </w:p>
              </w:tc>
              <w:tc>
                <w:tcPr>
                  <w:tcW w:w="740" w:type="pct"/>
                  <w:tcBorders>
                    <w:tl2br w:val="nil"/>
                    <w:tr2bl w:val="nil"/>
                  </w:tcBorders>
                  <w:vAlign w:val="center"/>
                </w:tcPr>
                <w:p w14:paraId="2D20957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1.53 </w:t>
                  </w:r>
                </w:p>
              </w:tc>
            </w:tr>
            <w:tr w14:paraId="1190AF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atLeast"/>
                <w:jc w:val="center"/>
              </w:trPr>
              <w:tc>
                <w:tcPr>
                  <w:tcW w:w="536" w:type="pct"/>
                  <w:vMerge w:val="continue"/>
                  <w:tcBorders>
                    <w:tl2br w:val="nil"/>
                    <w:tr2bl w:val="nil"/>
                  </w:tcBorders>
                  <w:vAlign w:val="center"/>
                </w:tcPr>
                <w:p w14:paraId="45C5E6E7">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18"/>
                      <w:szCs w:val="18"/>
                      <w:highlight w:val="none"/>
                      <w:lang w:val="en-US" w:eastAsia="zh-CN" w:bidi="ar-SA"/>
                    </w:rPr>
                  </w:pPr>
                </w:p>
              </w:tc>
              <w:tc>
                <w:tcPr>
                  <w:tcW w:w="502" w:type="pct"/>
                  <w:vMerge w:val="continue"/>
                  <w:tcBorders>
                    <w:tl2br w:val="nil"/>
                    <w:tr2bl w:val="nil"/>
                  </w:tcBorders>
                  <w:vAlign w:val="center"/>
                </w:tcPr>
                <w:p w14:paraId="2DB7AC79">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val="0"/>
                      <w:bCs w:val="0"/>
                      <w:color w:val="auto"/>
                      <w:kern w:val="0"/>
                      <w:sz w:val="18"/>
                      <w:szCs w:val="18"/>
                      <w:highlight w:val="none"/>
                      <w:lang w:eastAsia="zh-CN"/>
                    </w:rPr>
                  </w:pPr>
                </w:p>
              </w:tc>
              <w:tc>
                <w:tcPr>
                  <w:tcW w:w="358" w:type="pct"/>
                  <w:tcBorders>
                    <w:tl2br w:val="nil"/>
                    <w:tr2bl w:val="nil"/>
                  </w:tcBorders>
                  <w:vAlign w:val="center"/>
                </w:tcPr>
                <w:p w14:paraId="3A51B9B0">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val="0"/>
                      <w:bCs w:val="0"/>
                      <w:color w:val="auto"/>
                      <w:kern w:val="0"/>
                      <w:sz w:val="18"/>
                      <w:szCs w:val="18"/>
                      <w:highlight w:val="none"/>
                      <w:lang w:eastAsia="zh-CN"/>
                    </w:rPr>
                  </w:pPr>
                  <w:r>
                    <w:rPr>
                      <w:rFonts w:hint="default" w:ascii="Times New Roman" w:hAnsi="Times New Roman" w:eastAsia="宋体" w:cs="Times New Roman"/>
                      <w:color w:val="auto"/>
                      <w:kern w:val="0"/>
                      <w:sz w:val="18"/>
                      <w:szCs w:val="18"/>
                      <w:highlight w:val="none"/>
                    </w:rPr>
                    <w:t>3</w:t>
                  </w:r>
                </w:p>
              </w:tc>
              <w:tc>
                <w:tcPr>
                  <w:tcW w:w="652" w:type="pct"/>
                  <w:tcBorders>
                    <w:tl2br w:val="nil"/>
                    <w:tr2bl w:val="nil"/>
                  </w:tcBorders>
                  <w:vAlign w:val="center"/>
                </w:tcPr>
                <w:p w14:paraId="1496403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9.33×10</w:t>
                  </w:r>
                  <w:r>
                    <w:rPr>
                      <w:rFonts w:hint="default" w:ascii="Times New Roman" w:hAnsi="Times New Roman" w:cs="Times New Roman"/>
                      <w:color w:val="auto"/>
                      <w:sz w:val="18"/>
                      <w:szCs w:val="18"/>
                      <w:highlight w:val="none"/>
                      <w:vertAlign w:val="superscript"/>
                      <w:lang w:val="en-US" w:eastAsia="zh-CN"/>
                    </w:rPr>
                    <w:t>3</w:t>
                  </w:r>
                </w:p>
              </w:tc>
              <w:tc>
                <w:tcPr>
                  <w:tcW w:w="737" w:type="pct"/>
                  <w:tcBorders>
                    <w:tl2br w:val="nil"/>
                    <w:tr2bl w:val="nil"/>
                  </w:tcBorders>
                  <w:vAlign w:val="center"/>
                </w:tcPr>
                <w:p w14:paraId="610A173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72.0 </w:t>
                  </w:r>
                </w:p>
              </w:tc>
              <w:tc>
                <w:tcPr>
                  <w:tcW w:w="737" w:type="pct"/>
                  <w:tcBorders>
                    <w:tl2br w:val="nil"/>
                    <w:tr2bl w:val="nil"/>
                  </w:tcBorders>
                  <w:vAlign w:val="center"/>
                </w:tcPr>
                <w:p w14:paraId="63FD0EF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0.672 </w:t>
                  </w:r>
                </w:p>
              </w:tc>
              <w:tc>
                <w:tcPr>
                  <w:tcW w:w="737" w:type="pct"/>
                  <w:tcBorders>
                    <w:tl2br w:val="nil"/>
                    <w:tr2bl w:val="nil"/>
                  </w:tcBorders>
                  <w:vAlign w:val="center"/>
                </w:tcPr>
                <w:p w14:paraId="3333461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161 </w:t>
                  </w:r>
                </w:p>
              </w:tc>
              <w:tc>
                <w:tcPr>
                  <w:tcW w:w="740" w:type="pct"/>
                  <w:tcBorders>
                    <w:tl2br w:val="nil"/>
                    <w:tr2bl w:val="nil"/>
                  </w:tcBorders>
                  <w:vAlign w:val="center"/>
                </w:tcPr>
                <w:p w14:paraId="44EEBE7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1.50 </w:t>
                  </w:r>
                </w:p>
              </w:tc>
            </w:tr>
            <w:tr w14:paraId="71A97B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atLeast"/>
                <w:jc w:val="center"/>
              </w:trPr>
              <w:tc>
                <w:tcPr>
                  <w:tcW w:w="536" w:type="pct"/>
                  <w:vMerge w:val="continue"/>
                  <w:tcBorders>
                    <w:tl2br w:val="nil"/>
                    <w:tr2bl w:val="nil"/>
                  </w:tcBorders>
                  <w:vAlign w:val="center"/>
                </w:tcPr>
                <w:p w14:paraId="57403B29">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18"/>
                      <w:szCs w:val="18"/>
                      <w:highlight w:val="none"/>
                      <w:lang w:val="en-US" w:eastAsia="zh-CN" w:bidi="ar-SA"/>
                    </w:rPr>
                  </w:pPr>
                </w:p>
              </w:tc>
              <w:tc>
                <w:tcPr>
                  <w:tcW w:w="502" w:type="pct"/>
                  <w:vMerge w:val="continue"/>
                  <w:tcBorders>
                    <w:tl2br w:val="nil"/>
                    <w:tr2bl w:val="nil"/>
                  </w:tcBorders>
                  <w:vAlign w:val="center"/>
                </w:tcPr>
                <w:p w14:paraId="6618F34F">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val="0"/>
                      <w:bCs w:val="0"/>
                      <w:color w:val="auto"/>
                      <w:kern w:val="0"/>
                      <w:sz w:val="18"/>
                      <w:szCs w:val="18"/>
                      <w:highlight w:val="none"/>
                      <w:lang w:eastAsia="zh-CN"/>
                    </w:rPr>
                  </w:pPr>
                </w:p>
              </w:tc>
              <w:tc>
                <w:tcPr>
                  <w:tcW w:w="358" w:type="pct"/>
                  <w:tcBorders>
                    <w:tl2br w:val="nil"/>
                    <w:tr2bl w:val="nil"/>
                  </w:tcBorders>
                  <w:vAlign w:val="center"/>
                </w:tcPr>
                <w:p w14:paraId="278C705A">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val="0"/>
                      <w:bCs w:val="0"/>
                      <w:color w:val="auto"/>
                      <w:kern w:val="0"/>
                      <w:sz w:val="18"/>
                      <w:szCs w:val="18"/>
                      <w:highlight w:val="none"/>
                      <w:lang w:eastAsia="zh-CN"/>
                    </w:rPr>
                  </w:pPr>
                  <w:r>
                    <w:rPr>
                      <w:rFonts w:hint="default" w:ascii="Times New Roman" w:hAnsi="Times New Roman" w:eastAsia="宋体" w:cs="Times New Roman"/>
                      <w:b w:val="0"/>
                      <w:bCs w:val="0"/>
                      <w:color w:val="auto"/>
                      <w:kern w:val="0"/>
                      <w:sz w:val="18"/>
                      <w:szCs w:val="18"/>
                      <w:highlight w:val="none"/>
                      <w:lang w:eastAsia="zh-CN"/>
                    </w:rPr>
                    <w:t>均值</w:t>
                  </w:r>
                </w:p>
              </w:tc>
              <w:tc>
                <w:tcPr>
                  <w:tcW w:w="652" w:type="pct"/>
                  <w:tcBorders>
                    <w:tl2br w:val="nil"/>
                    <w:tr2bl w:val="nil"/>
                  </w:tcBorders>
                  <w:vAlign w:val="center"/>
                </w:tcPr>
                <w:p w14:paraId="41A2664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9.28×10</w:t>
                  </w:r>
                  <w:r>
                    <w:rPr>
                      <w:rFonts w:hint="default" w:ascii="Times New Roman" w:hAnsi="Times New Roman" w:cs="Times New Roman"/>
                      <w:color w:val="auto"/>
                      <w:sz w:val="18"/>
                      <w:szCs w:val="18"/>
                      <w:highlight w:val="none"/>
                      <w:vertAlign w:val="superscript"/>
                      <w:lang w:val="en-US" w:eastAsia="zh-CN"/>
                    </w:rPr>
                    <w:t>3</w:t>
                  </w:r>
                </w:p>
              </w:tc>
              <w:tc>
                <w:tcPr>
                  <w:tcW w:w="737" w:type="pct"/>
                  <w:tcBorders>
                    <w:tl2br w:val="nil"/>
                    <w:tr2bl w:val="nil"/>
                  </w:tcBorders>
                  <w:vAlign w:val="center"/>
                </w:tcPr>
                <w:p w14:paraId="6DB2C7D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71.4 </w:t>
                  </w:r>
                </w:p>
              </w:tc>
              <w:tc>
                <w:tcPr>
                  <w:tcW w:w="737" w:type="pct"/>
                  <w:tcBorders>
                    <w:tl2br w:val="nil"/>
                    <w:tr2bl w:val="nil"/>
                  </w:tcBorders>
                  <w:vAlign w:val="center"/>
                </w:tcPr>
                <w:p w14:paraId="4D1ECBD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0.663 </w:t>
                  </w:r>
                </w:p>
              </w:tc>
              <w:tc>
                <w:tcPr>
                  <w:tcW w:w="737" w:type="pct"/>
                  <w:tcBorders>
                    <w:tl2br w:val="nil"/>
                    <w:tr2bl w:val="nil"/>
                  </w:tcBorders>
                  <w:vAlign w:val="center"/>
                </w:tcPr>
                <w:p w14:paraId="4222A0D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168 </w:t>
                  </w:r>
                </w:p>
              </w:tc>
              <w:tc>
                <w:tcPr>
                  <w:tcW w:w="740" w:type="pct"/>
                  <w:tcBorders>
                    <w:tl2br w:val="nil"/>
                    <w:tr2bl w:val="nil"/>
                  </w:tcBorders>
                  <w:vAlign w:val="center"/>
                </w:tcPr>
                <w:p w14:paraId="30D0ED2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1.56 </w:t>
                  </w:r>
                </w:p>
              </w:tc>
            </w:tr>
            <w:tr w14:paraId="266E5D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atLeast"/>
                <w:jc w:val="center"/>
              </w:trPr>
              <w:tc>
                <w:tcPr>
                  <w:tcW w:w="536" w:type="pct"/>
                  <w:vMerge w:val="restart"/>
                  <w:tcBorders>
                    <w:tl2br w:val="nil"/>
                    <w:tr2bl w:val="nil"/>
                  </w:tcBorders>
                  <w:vAlign w:val="center"/>
                </w:tcPr>
                <w:p w14:paraId="294769B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sz w:val="18"/>
                      <w:szCs w:val="18"/>
                      <w:highlight w:val="none"/>
                      <w:lang w:val="en-US" w:eastAsia="zh-CN"/>
                    </w:rPr>
                    <w:t>环保设备排气筒出口</w:t>
                  </w:r>
                </w:p>
              </w:tc>
              <w:tc>
                <w:tcPr>
                  <w:tcW w:w="502" w:type="pct"/>
                  <w:vMerge w:val="continue"/>
                  <w:tcBorders>
                    <w:tl2br w:val="nil"/>
                    <w:tr2bl w:val="nil"/>
                  </w:tcBorders>
                  <w:vAlign w:val="center"/>
                </w:tcPr>
                <w:p w14:paraId="7309173F">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val="0"/>
                      <w:bCs w:val="0"/>
                      <w:color w:val="auto"/>
                      <w:kern w:val="0"/>
                      <w:sz w:val="18"/>
                      <w:szCs w:val="18"/>
                      <w:highlight w:val="none"/>
                      <w:lang w:eastAsia="zh-CN"/>
                    </w:rPr>
                  </w:pPr>
                </w:p>
              </w:tc>
              <w:tc>
                <w:tcPr>
                  <w:tcW w:w="358" w:type="pct"/>
                  <w:tcBorders>
                    <w:tl2br w:val="nil"/>
                    <w:tr2bl w:val="nil"/>
                  </w:tcBorders>
                  <w:vAlign w:val="center"/>
                </w:tcPr>
                <w:p w14:paraId="59FF8BA5">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val="0"/>
                      <w:bCs w:val="0"/>
                      <w:color w:val="auto"/>
                      <w:kern w:val="0"/>
                      <w:sz w:val="18"/>
                      <w:szCs w:val="18"/>
                      <w:highlight w:val="none"/>
                      <w:lang w:eastAsia="zh-CN"/>
                    </w:rPr>
                  </w:pPr>
                  <w:r>
                    <w:rPr>
                      <w:rFonts w:hint="default" w:ascii="Times New Roman" w:hAnsi="Times New Roman" w:eastAsia="宋体" w:cs="Times New Roman"/>
                      <w:color w:val="auto"/>
                      <w:kern w:val="0"/>
                      <w:sz w:val="18"/>
                      <w:szCs w:val="18"/>
                      <w:highlight w:val="none"/>
                    </w:rPr>
                    <w:t>1</w:t>
                  </w:r>
                </w:p>
              </w:tc>
              <w:tc>
                <w:tcPr>
                  <w:tcW w:w="652" w:type="pct"/>
                  <w:tcBorders>
                    <w:tl2br w:val="nil"/>
                    <w:tr2bl w:val="nil"/>
                  </w:tcBorders>
                  <w:vAlign w:val="center"/>
                </w:tcPr>
                <w:p w14:paraId="5FEF5F3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9.07×10</w:t>
                  </w:r>
                  <w:r>
                    <w:rPr>
                      <w:rFonts w:hint="default" w:ascii="Times New Roman" w:hAnsi="Times New Roman" w:cs="Times New Roman"/>
                      <w:color w:val="auto"/>
                      <w:sz w:val="18"/>
                      <w:szCs w:val="18"/>
                      <w:highlight w:val="none"/>
                      <w:vertAlign w:val="superscript"/>
                      <w:lang w:val="en-US" w:eastAsia="zh-CN"/>
                    </w:rPr>
                    <w:t>3</w:t>
                  </w:r>
                </w:p>
              </w:tc>
              <w:tc>
                <w:tcPr>
                  <w:tcW w:w="737" w:type="pct"/>
                  <w:tcBorders>
                    <w:tl2br w:val="nil"/>
                    <w:tr2bl w:val="nil"/>
                  </w:tcBorders>
                  <w:vAlign w:val="center"/>
                </w:tcPr>
                <w:p w14:paraId="7A9BC8D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7.33</w:t>
                  </w:r>
                </w:p>
              </w:tc>
              <w:tc>
                <w:tcPr>
                  <w:tcW w:w="737" w:type="pct"/>
                  <w:tcBorders>
                    <w:tl2br w:val="nil"/>
                    <w:tr2bl w:val="nil"/>
                  </w:tcBorders>
                  <w:vAlign w:val="center"/>
                </w:tcPr>
                <w:p w14:paraId="5B61C69C">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0.0665 </w:t>
                  </w:r>
                </w:p>
              </w:tc>
              <w:tc>
                <w:tcPr>
                  <w:tcW w:w="737" w:type="pct"/>
                  <w:tcBorders>
                    <w:tl2br w:val="nil"/>
                    <w:tr2bl w:val="nil"/>
                  </w:tcBorders>
                  <w:vAlign w:val="center"/>
                </w:tcPr>
                <w:p w14:paraId="73D36B1C">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4.2 </w:t>
                  </w:r>
                </w:p>
              </w:tc>
              <w:tc>
                <w:tcPr>
                  <w:tcW w:w="740" w:type="pct"/>
                  <w:tcBorders>
                    <w:tl2br w:val="nil"/>
                    <w:tr2bl w:val="nil"/>
                  </w:tcBorders>
                  <w:vAlign w:val="center"/>
                </w:tcPr>
                <w:p w14:paraId="602857B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0.0381 </w:t>
                  </w:r>
                </w:p>
              </w:tc>
            </w:tr>
            <w:tr w14:paraId="7CD489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atLeast"/>
                <w:jc w:val="center"/>
              </w:trPr>
              <w:tc>
                <w:tcPr>
                  <w:tcW w:w="536" w:type="pct"/>
                  <w:vMerge w:val="continue"/>
                  <w:tcBorders>
                    <w:tl2br w:val="nil"/>
                    <w:tr2bl w:val="nil"/>
                  </w:tcBorders>
                  <w:vAlign w:val="center"/>
                </w:tcPr>
                <w:p w14:paraId="4E05E8CF">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18"/>
                      <w:szCs w:val="18"/>
                      <w:highlight w:val="none"/>
                      <w:lang w:val="en-US" w:eastAsia="zh-CN" w:bidi="ar-SA"/>
                    </w:rPr>
                  </w:pPr>
                </w:p>
              </w:tc>
              <w:tc>
                <w:tcPr>
                  <w:tcW w:w="502" w:type="pct"/>
                  <w:vMerge w:val="continue"/>
                  <w:tcBorders>
                    <w:tl2br w:val="nil"/>
                    <w:tr2bl w:val="nil"/>
                  </w:tcBorders>
                  <w:vAlign w:val="center"/>
                </w:tcPr>
                <w:p w14:paraId="014521FE">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val="0"/>
                      <w:bCs w:val="0"/>
                      <w:color w:val="auto"/>
                      <w:kern w:val="0"/>
                      <w:sz w:val="18"/>
                      <w:szCs w:val="18"/>
                      <w:highlight w:val="none"/>
                      <w:lang w:eastAsia="zh-CN"/>
                    </w:rPr>
                  </w:pPr>
                </w:p>
              </w:tc>
              <w:tc>
                <w:tcPr>
                  <w:tcW w:w="358" w:type="pct"/>
                  <w:tcBorders>
                    <w:tl2br w:val="nil"/>
                    <w:tr2bl w:val="nil"/>
                  </w:tcBorders>
                  <w:vAlign w:val="center"/>
                </w:tcPr>
                <w:p w14:paraId="30D6926F">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val="0"/>
                      <w:bCs w:val="0"/>
                      <w:color w:val="auto"/>
                      <w:kern w:val="0"/>
                      <w:sz w:val="18"/>
                      <w:szCs w:val="18"/>
                      <w:highlight w:val="none"/>
                      <w:lang w:eastAsia="zh-CN"/>
                    </w:rPr>
                  </w:pPr>
                  <w:r>
                    <w:rPr>
                      <w:rFonts w:hint="default" w:ascii="Times New Roman" w:hAnsi="Times New Roman" w:eastAsia="宋体" w:cs="Times New Roman"/>
                      <w:color w:val="auto"/>
                      <w:kern w:val="0"/>
                      <w:sz w:val="18"/>
                      <w:szCs w:val="18"/>
                      <w:highlight w:val="none"/>
                    </w:rPr>
                    <w:t>2</w:t>
                  </w:r>
                </w:p>
              </w:tc>
              <w:tc>
                <w:tcPr>
                  <w:tcW w:w="652" w:type="pct"/>
                  <w:tcBorders>
                    <w:tl2br w:val="nil"/>
                    <w:tr2bl w:val="nil"/>
                  </w:tcBorders>
                  <w:vAlign w:val="center"/>
                </w:tcPr>
                <w:p w14:paraId="08C3D05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9.10×10</w:t>
                  </w:r>
                  <w:r>
                    <w:rPr>
                      <w:rFonts w:hint="default" w:ascii="Times New Roman" w:hAnsi="Times New Roman" w:cs="Times New Roman"/>
                      <w:color w:val="auto"/>
                      <w:sz w:val="18"/>
                      <w:szCs w:val="18"/>
                      <w:highlight w:val="none"/>
                      <w:vertAlign w:val="superscript"/>
                      <w:lang w:val="en-US" w:eastAsia="zh-CN"/>
                    </w:rPr>
                    <w:t>3</w:t>
                  </w:r>
                </w:p>
              </w:tc>
              <w:tc>
                <w:tcPr>
                  <w:tcW w:w="737" w:type="pct"/>
                  <w:tcBorders>
                    <w:tl2br w:val="nil"/>
                    <w:tr2bl w:val="nil"/>
                  </w:tcBorders>
                  <w:vAlign w:val="center"/>
                </w:tcPr>
                <w:p w14:paraId="79FAC68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7.48</w:t>
                  </w:r>
                </w:p>
              </w:tc>
              <w:tc>
                <w:tcPr>
                  <w:tcW w:w="737" w:type="pct"/>
                  <w:tcBorders>
                    <w:tl2br w:val="nil"/>
                    <w:tr2bl w:val="nil"/>
                  </w:tcBorders>
                  <w:vAlign w:val="center"/>
                </w:tcPr>
                <w:p w14:paraId="21DE01F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0.0681 </w:t>
                  </w:r>
                </w:p>
              </w:tc>
              <w:tc>
                <w:tcPr>
                  <w:tcW w:w="737" w:type="pct"/>
                  <w:tcBorders>
                    <w:tl2br w:val="nil"/>
                    <w:tr2bl w:val="nil"/>
                  </w:tcBorders>
                  <w:vAlign w:val="center"/>
                </w:tcPr>
                <w:p w14:paraId="5A9B3B0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4.5 </w:t>
                  </w:r>
                </w:p>
              </w:tc>
              <w:tc>
                <w:tcPr>
                  <w:tcW w:w="740" w:type="pct"/>
                  <w:tcBorders>
                    <w:tl2br w:val="nil"/>
                    <w:tr2bl w:val="nil"/>
                  </w:tcBorders>
                  <w:vAlign w:val="center"/>
                </w:tcPr>
                <w:p w14:paraId="30E40C5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0.0410 </w:t>
                  </w:r>
                </w:p>
              </w:tc>
            </w:tr>
            <w:tr w14:paraId="489ABF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atLeast"/>
                <w:jc w:val="center"/>
              </w:trPr>
              <w:tc>
                <w:tcPr>
                  <w:tcW w:w="536" w:type="pct"/>
                  <w:vMerge w:val="continue"/>
                  <w:tcBorders>
                    <w:tl2br w:val="nil"/>
                    <w:tr2bl w:val="nil"/>
                  </w:tcBorders>
                  <w:vAlign w:val="center"/>
                </w:tcPr>
                <w:p w14:paraId="1C61BCDB">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18"/>
                      <w:szCs w:val="18"/>
                      <w:highlight w:val="none"/>
                      <w:lang w:val="en-US" w:eastAsia="zh-CN" w:bidi="ar-SA"/>
                    </w:rPr>
                  </w:pPr>
                </w:p>
              </w:tc>
              <w:tc>
                <w:tcPr>
                  <w:tcW w:w="502" w:type="pct"/>
                  <w:vMerge w:val="continue"/>
                  <w:tcBorders>
                    <w:tl2br w:val="nil"/>
                    <w:tr2bl w:val="nil"/>
                  </w:tcBorders>
                  <w:vAlign w:val="center"/>
                </w:tcPr>
                <w:p w14:paraId="0454A143">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val="0"/>
                      <w:bCs w:val="0"/>
                      <w:color w:val="auto"/>
                      <w:kern w:val="0"/>
                      <w:sz w:val="18"/>
                      <w:szCs w:val="18"/>
                      <w:highlight w:val="none"/>
                      <w:lang w:eastAsia="zh-CN"/>
                    </w:rPr>
                  </w:pPr>
                </w:p>
              </w:tc>
              <w:tc>
                <w:tcPr>
                  <w:tcW w:w="358" w:type="pct"/>
                  <w:tcBorders>
                    <w:tl2br w:val="nil"/>
                    <w:tr2bl w:val="nil"/>
                  </w:tcBorders>
                  <w:vAlign w:val="center"/>
                </w:tcPr>
                <w:p w14:paraId="51086725">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val="0"/>
                      <w:bCs w:val="0"/>
                      <w:color w:val="auto"/>
                      <w:kern w:val="0"/>
                      <w:sz w:val="18"/>
                      <w:szCs w:val="18"/>
                      <w:highlight w:val="none"/>
                      <w:lang w:eastAsia="zh-CN"/>
                    </w:rPr>
                  </w:pPr>
                  <w:r>
                    <w:rPr>
                      <w:rFonts w:hint="default" w:ascii="Times New Roman" w:hAnsi="Times New Roman" w:eastAsia="宋体" w:cs="Times New Roman"/>
                      <w:color w:val="auto"/>
                      <w:kern w:val="0"/>
                      <w:sz w:val="18"/>
                      <w:szCs w:val="18"/>
                      <w:highlight w:val="none"/>
                    </w:rPr>
                    <w:t>3</w:t>
                  </w:r>
                </w:p>
              </w:tc>
              <w:tc>
                <w:tcPr>
                  <w:tcW w:w="652" w:type="pct"/>
                  <w:tcBorders>
                    <w:tl2br w:val="nil"/>
                    <w:tr2bl w:val="nil"/>
                  </w:tcBorders>
                  <w:vAlign w:val="center"/>
                </w:tcPr>
                <w:p w14:paraId="4604D2D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9.05×10</w:t>
                  </w:r>
                  <w:r>
                    <w:rPr>
                      <w:rFonts w:hint="default" w:ascii="Times New Roman" w:hAnsi="Times New Roman" w:cs="Times New Roman"/>
                      <w:color w:val="auto"/>
                      <w:sz w:val="18"/>
                      <w:szCs w:val="18"/>
                      <w:highlight w:val="none"/>
                      <w:vertAlign w:val="superscript"/>
                      <w:lang w:val="en-US" w:eastAsia="zh-CN"/>
                    </w:rPr>
                    <w:t>3</w:t>
                  </w:r>
                </w:p>
              </w:tc>
              <w:tc>
                <w:tcPr>
                  <w:tcW w:w="737" w:type="pct"/>
                  <w:tcBorders>
                    <w:tl2br w:val="nil"/>
                    <w:tr2bl w:val="nil"/>
                  </w:tcBorders>
                  <w:vAlign w:val="center"/>
                </w:tcPr>
                <w:p w14:paraId="273B05F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7.18</w:t>
                  </w:r>
                </w:p>
              </w:tc>
              <w:tc>
                <w:tcPr>
                  <w:tcW w:w="737" w:type="pct"/>
                  <w:tcBorders>
                    <w:tl2br w:val="nil"/>
                    <w:tr2bl w:val="nil"/>
                  </w:tcBorders>
                  <w:vAlign w:val="center"/>
                </w:tcPr>
                <w:p w14:paraId="02F3948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0.0650 </w:t>
                  </w:r>
                </w:p>
              </w:tc>
              <w:tc>
                <w:tcPr>
                  <w:tcW w:w="737" w:type="pct"/>
                  <w:tcBorders>
                    <w:tl2br w:val="nil"/>
                    <w:tr2bl w:val="nil"/>
                  </w:tcBorders>
                  <w:vAlign w:val="center"/>
                </w:tcPr>
                <w:p w14:paraId="07D67EA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4.1 </w:t>
                  </w:r>
                </w:p>
              </w:tc>
              <w:tc>
                <w:tcPr>
                  <w:tcW w:w="740" w:type="pct"/>
                  <w:tcBorders>
                    <w:tl2br w:val="nil"/>
                    <w:tr2bl w:val="nil"/>
                  </w:tcBorders>
                  <w:vAlign w:val="center"/>
                </w:tcPr>
                <w:p w14:paraId="7F775EA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0.0371 </w:t>
                  </w:r>
                </w:p>
              </w:tc>
            </w:tr>
            <w:tr w14:paraId="7EE9C9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atLeast"/>
                <w:jc w:val="center"/>
              </w:trPr>
              <w:tc>
                <w:tcPr>
                  <w:tcW w:w="536" w:type="pct"/>
                  <w:vMerge w:val="continue"/>
                  <w:tcBorders>
                    <w:tl2br w:val="nil"/>
                    <w:tr2bl w:val="nil"/>
                  </w:tcBorders>
                  <w:vAlign w:val="center"/>
                </w:tcPr>
                <w:p w14:paraId="5C57FB6F">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18"/>
                      <w:szCs w:val="18"/>
                      <w:highlight w:val="none"/>
                      <w:lang w:val="en-US" w:eastAsia="zh-CN" w:bidi="ar-SA"/>
                    </w:rPr>
                  </w:pPr>
                </w:p>
              </w:tc>
              <w:tc>
                <w:tcPr>
                  <w:tcW w:w="502" w:type="pct"/>
                  <w:vMerge w:val="continue"/>
                  <w:tcBorders>
                    <w:tl2br w:val="nil"/>
                    <w:tr2bl w:val="nil"/>
                  </w:tcBorders>
                  <w:vAlign w:val="center"/>
                </w:tcPr>
                <w:p w14:paraId="62A9682D">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val="0"/>
                      <w:bCs w:val="0"/>
                      <w:color w:val="auto"/>
                      <w:kern w:val="0"/>
                      <w:sz w:val="18"/>
                      <w:szCs w:val="18"/>
                      <w:highlight w:val="none"/>
                      <w:lang w:eastAsia="zh-CN"/>
                    </w:rPr>
                  </w:pPr>
                </w:p>
              </w:tc>
              <w:tc>
                <w:tcPr>
                  <w:tcW w:w="358" w:type="pct"/>
                  <w:tcBorders>
                    <w:tl2br w:val="nil"/>
                    <w:tr2bl w:val="nil"/>
                  </w:tcBorders>
                  <w:vAlign w:val="center"/>
                </w:tcPr>
                <w:p w14:paraId="435B84FA">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val="0"/>
                      <w:bCs w:val="0"/>
                      <w:color w:val="auto"/>
                      <w:kern w:val="0"/>
                      <w:sz w:val="18"/>
                      <w:szCs w:val="18"/>
                      <w:highlight w:val="none"/>
                      <w:lang w:eastAsia="zh-CN"/>
                    </w:rPr>
                  </w:pPr>
                  <w:r>
                    <w:rPr>
                      <w:rFonts w:hint="default" w:ascii="Times New Roman" w:hAnsi="Times New Roman" w:eastAsia="宋体" w:cs="Times New Roman"/>
                      <w:b w:val="0"/>
                      <w:bCs w:val="0"/>
                      <w:color w:val="auto"/>
                      <w:kern w:val="0"/>
                      <w:sz w:val="18"/>
                      <w:szCs w:val="18"/>
                      <w:highlight w:val="none"/>
                      <w:lang w:eastAsia="zh-CN"/>
                    </w:rPr>
                    <w:t>均值</w:t>
                  </w:r>
                </w:p>
              </w:tc>
              <w:tc>
                <w:tcPr>
                  <w:tcW w:w="652" w:type="pct"/>
                  <w:tcBorders>
                    <w:tl2br w:val="nil"/>
                    <w:tr2bl w:val="nil"/>
                  </w:tcBorders>
                  <w:vAlign w:val="center"/>
                </w:tcPr>
                <w:p w14:paraId="2F17191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9.07×10</w:t>
                  </w:r>
                  <w:r>
                    <w:rPr>
                      <w:rFonts w:hint="default" w:ascii="Times New Roman" w:hAnsi="Times New Roman" w:cs="Times New Roman"/>
                      <w:color w:val="auto"/>
                      <w:sz w:val="18"/>
                      <w:szCs w:val="18"/>
                      <w:highlight w:val="none"/>
                      <w:vertAlign w:val="superscript"/>
                      <w:lang w:val="en-US" w:eastAsia="zh-CN"/>
                    </w:rPr>
                    <w:t>3</w:t>
                  </w:r>
                </w:p>
              </w:tc>
              <w:tc>
                <w:tcPr>
                  <w:tcW w:w="737" w:type="pct"/>
                  <w:tcBorders>
                    <w:tl2br w:val="nil"/>
                    <w:tr2bl w:val="nil"/>
                  </w:tcBorders>
                  <w:vAlign w:val="center"/>
                </w:tcPr>
                <w:p w14:paraId="2E74F1C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7.33 </w:t>
                  </w:r>
                </w:p>
              </w:tc>
              <w:tc>
                <w:tcPr>
                  <w:tcW w:w="737" w:type="pct"/>
                  <w:tcBorders>
                    <w:tl2br w:val="nil"/>
                    <w:tr2bl w:val="nil"/>
                  </w:tcBorders>
                  <w:vAlign w:val="center"/>
                </w:tcPr>
                <w:p w14:paraId="7AC4AE7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0.0665 </w:t>
                  </w:r>
                </w:p>
              </w:tc>
              <w:tc>
                <w:tcPr>
                  <w:tcW w:w="737" w:type="pct"/>
                  <w:tcBorders>
                    <w:tl2br w:val="nil"/>
                    <w:tr2bl w:val="nil"/>
                  </w:tcBorders>
                  <w:vAlign w:val="center"/>
                </w:tcPr>
                <w:p w14:paraId="4FD107D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4.3 </w:t>
                  </w:r>
                </w:p>
              </w:tc>
              <w:tc>
                <w:tcPr>
                  <w:tcW w:w="740" w:type="pct"/>
                  <w:tcBorders>
                    <w:tl2br w:val="nil"/>
                    <w:tr2bl w:val="nil"/>
                  </w:tcBorders>
                  <w:vAlign w:val="center"/>
                </w:tcPr>
                <w:p w14:paraId="628404D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0.0387 </w:t>
                  </w:r>
                </w:p>
              </w:tc>
            </w:tr>
            <w:tr w14:paraId="219AAF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atLeast"/>
                <w:jc w:val="center"/>
              </w:trPr>
              <w:tc>
                <w:tcPr>
                  <w:tcW w:w="2048" w:type="pct"/>
                  <w:gridSpan w:val="4"/>
                  <w:tcBorders>
                    <w:tl2br w:val="nil"/>
                    <w:tr2bl w:val="nil"/>
                  </w:tcBorders>
                  <w:vAlign w:val="center"/>
                </w:tcPr>
                <w:p w14:paraId="587FA57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去除率（%）</w:t>
                  </w:r>
                </w:p>
              </w:tc>
              <w:tc>
                <w:tcPr>
                  <w:tcW w:w="1474" w:type="pct"/>
                  <w:gridSpan w:val="2"/>
                  <w:tcBorders>
                    <w:tl2br w:val="nil"/>
                    <w:tr2bl w:val="nil"/>
                  </w:tcBorders>
                  <w:vAlign w:val="center"/>
                </w:tcPr>
                <w:p w14:paraId="2B0916D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90.0</w:t>
                  </w:r>
                </w:p>
              </w:tc>
              <w:tc>
                <w:tcPr>
                  <w:tcW w:w="1477" w:type="pct"/>
                  <w:gridSpan w:val="2"/>
                  <w:tcBorders>
                    <w:tl2br w:val="nil"/>
                    <w:tr2bl w:val="nil"/>
                  </w:tcBorders>
                  <w:vAlign w:val="center"/>
                </w:tcPr>
                <w:p w14:paraId="4BF2582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97.5</w:t>
                  </w:r>
                </w:p>
              </w:tc>
            </w:tr>
            <w:tr w14:paraId="5B7775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atLeast"/>
                <w:jc w:val="center"/>
              </w:trPr>
              <w:tc>
                <w:tcPr>
                  <w:tcW w:w="536" w:type="pct"/>
                  <w:vMerge w:val="restart"/>
                  <w:tcBorders>
                    <w:tl2br w:val="nil"/>
                    <w:tr2bl w:val="nil"/>
                  </w:tcBorders>
                  <w:vAlign w:val="center"/>
                </w:tcPr>
                <w:p w14:paraId="656AA03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sz w:val="18"/>
                      <w:szCs w:val="18"/>
                      <w:highlight w:val="none"/>
                      <w:lang w:val="en-US" w:eastAsia="zh-CN"/>
                    </w:rPr>
                    <w:t>环保设备进口</w:t>
                  </w:r>
                </w:p>
              </w:tc>
              <w:tc>
                <w:tcPr>
                  <w:tcW w:w="502" w:type="pct"/>
                  <w:vMerge w:val="restart"/>
                  <w:tcBorders>
                    <w:tl2br w:val="nil"/>
                    <w:tr2bl w:val="nil"/>
                  </w:tcBorders>
                  <w:vAlign w:val="center"/>
                </w:tcPr>
                <w:p w14:paraId="57947A75">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val="0"/>
                      <w:bCs w:val="0"/>
                      <w:color w:val="auto"/>
                      <w:kern w:val="0"/>
                      <w:sz w:val="18"/>
                      <w:szCs w:val="18"/>
                      <w:highlight w:val="none"/>
                      <w:lang w:val="en-US" w:eastAsia="zh-CN"/>
                    </w:rPr>
                  </w:pPr>
                  <w:r>
                    <w:rPr>
                      <w:rFonts w:hint="default" w:ascii="Times New Roman" w:hAnsi="Times New Roman" w:cs="Times New Roman"/>
                      <w:b w:val="0"/>
                      <w:bCs w:val="0"/>
                      <w:color w:val="auto"/>
                      <w:kern w:val="0"/>
                      <w:sz w:val="18"/>
                      <w:szCs w:val="18"/>
                      <w:highlight w:val="none"/>
                      <w:lang w:val="en-US" w:eastAsia="zh-CN"/>
                    </w:rPr>
                    <w:t>2025.8.23</w:t>
                  </w:r>
                </w:p>
              </w:tc>
              <w:tc>
                <w:tcPr>
                  <w:tcW w:w="358" w:type="pct"/>
                  <w:tcBorders>
                    <w:tl2br w:val="nil"/>
                    <w:tr2bl w:val="nil"/>
                  </w:tcBorders>
                  <w:vAlign w:val="center"/>
                </w:tcPr>
                <w:p w14:paraId="466F9507">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val="0"/>
                      <w:bCs w:val="0"/>
                      <w:color w:val="auto"/>
                      <w:kern w:val="0"/>
                      <w:sz w:val="18"/>
                      <w:szCs w:val="18"/>
                      <w:highlight w:val="none"/>
                      <w:lang w:eastAsia="zh-CN"/>
                    </w:rPr>
                  </w:pPr>
                  <w:r>
                    <w:rPr>
                      <w:rFonts w:hint="default" w:ascii="Times New Roman" w:hAnsi="Times New Roman" w:eastAsia="宋体" w:cs="Times New Roman"/>
                      <w:color w:val="auto"/>
                      <w:kern w:val="0"/>
                      <w:sz w:val="18"/>
                      <w:szCs w:val="18"/>
                      <w:highlight w:val="none"/>
                    </w:rPr>
                    <w:t>1</w:t>
                  </w:r>
                </w:p>
              </w:tc>
              <w:tc>
                <w:tcPr>
                  <w:tcW w:w="652" w:type="pct"/>
                  <w:tcBorders>
                    <w:tl2br w:val="nil"/>
                    <w:tr2bl w:val="nil"/>
                  </w:tcBorders>
                  <w:vAlign w:val="center"/>
                </w:tcPr>
                <w:p w14:paraId="044340C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9.16×10</w:t>
                  </w:r>
                  <w:r>
                    <w:rPr>
                      <w:rFonts w:hint="default" w:ascii="Times New Roman" w:hAnsi="Times New Roman" w:cs="Times New Roman"/>
                      <w:color w:val="auto"/>
                      <w:sz w:val="18"/>
                      <w:szCs w:val="18"/>
                      <w:highlight w:val="none"/>
                      <w:vertAlign w:val="superscript"/>
                      <w:lang w:val="en-US" w:eastAsia="zh-CN"/>
                    </w:rPr>
                    <w:t>3</w:t>
                  </w:r>
                </w:p>
              </w:tc>
              <w:tc>
                <w:tcPr>
                  <w:tcW w:w="737" w:type="pct"/>
                  <w:tcBorders>
                    <w:tl2br w:val="nil"/>
                    <w:tr2bl w:val="nil"/>
                  </w:tcBorders>
                  <w:vAlign w:val="center"/>
                </w:tcPr>
                <w:p w14:paraId="32D5097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72.1</w:t>
                  </w:r>
                </w:p>
              </w:tc>
              <w:tc>
                <w:tcPr>
                  <w:tcW w:w="737" w:type="pct"/>
                  <w:tcBorders>
                    <w:tl2br w:val="nil"/>
                    <w:tr2bl w:val="nil"/>
                  </w:tcBorders>
                  <w:vAlign w:val="center"/>
                </w:tcPr>
                <w:p w14:paraId="6E166D8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0.660 </w:t>
                  </w:r>
                </w:p>
              </w:tc>
              <w:tc>
                <w:tcPr>
                  <w:tcW w:w="737" w:type="pct"/>
                  <w:tcBorders>
                    <w:tl2br w:val="nil"/>
                    <w:tr2bl w:val="nil"/>
                  </w:tcBorders>
                  <w:vAlign w:val="center"/>
                </w:tcPr>
                <w:p w14:paraId="02F7D66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148 </w:t>
                  </w:r>
                </w:p>
              </w:tc>
              <w:tc>
                <w:tcPr>
                  <w:tcW w:w="740" w:type="pct"/>
                  <w:tcBorders>
                    <w:tl2br w:val="nil"/>
                    <w:tr2bl w:val="nil"/>
                  </w:tcBorders>
                  <w:vAlign w:val="center"/>
                </w:tcPr>
                <w:p w14:paraId="49226D9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1.36 </w:t>
                  </w:r>
                </w:p>
              </w:tc>
            </w:tr>
            <w:tr w14:paraId="052FDC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atLeast"/>
                <w:jc w:val="center"/>
              </w:trPr>
              <w:tc>
                <w:tcPr>
                  <w:tcW w:w="536" w:type="pct"/>
                  <w:vMerge w:val="continue"/>
                  <w:tcBorders>
                    <w:tl2br w:val="nil"/>
                    <w:tr2bl w:val="nil"/>
                  </w:tcBorders>
                  <w:vAlign w:val="center"/>
                </w:tcPr>
                <w:p w14:paraId="7933696D">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18"/>
                      <w:szCs w:val="18"/>
                      <w:highlight w:val="none"/>
                      <w:lang w:val="en-US" w:eastAsia="zh-CN" w:bidi="ar-SA"/>
                    </w:rPr>
                  </w:pPr>
                </w:p>
              </w:tc>
              <w:tc>
                <w:tcPr>
                  <w:tcW w:w="502" w:type="pct"/>
                  <w:vMerge w:val="continue"/>
                  <w:tcBorders>
                    <w:tl2br w:val="nil"/>
                    <w:tr2bl w:val="nil"/>
                  </w:tcBorders>
                  <w:vAlign w:val="center"/>
                </w:tcPr>
                <w:p w14:paraId="5D163263">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val="0"/>
                      <w:bCs w:val="0"/>
                      <w:color w:val="auto"/>
                      <w:kern w:val="0"/>
                      <w:sz w:val="18"/>
                      <w:szCs w:val="18"/>
                      <w:highlight w:val="none"/>
                      <w:lang w:eastAsia="zh-CN"/>
                    </w:rPr>
                  </w:pPr>
                </w:p>
              </w:tc>
              <w:tc>
                <w:tcPr>
                  <w:tcW w:w="358" w:type="pct"/>
                  <w:tcBorders>
                    <w:tl2br w:val="nil"/>
                    <w:tr2bl w:val="nil"/>
                  </w:tcBorders>
                  <w:vAlign w:val="center"/>
                </w:tcPr>
                <w:p w14:paraId="54974B7F">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val="0"/>
                      <w:bCs w:val="0"/>
                      <w:color w:val="auto"/>
                      <w:kern w:val="0"/>
                      <w:sz w:val="18"/>
                      <w:szCs w:val="18"/>
                      <w:highlight w:val="none"/>
                      <w:lang w:eastAsia="zh-CN"/>
                    </w:rPr>
                  </w:pPr>
                  <w:r>
                    <w:rPr>
                      <w:rFonts w:hint="default" w:ascii="Times New Roman" w:hAnsi="Times New Roman" w:eastAsia="宋体" w:cs="Times New Roman"/>
                      <w:color w:val="auto"/>
                      <w:kern w:val="0"/>
                      <w:sz w:val="18"/>
                      <w:szCs w:val="18"/>
                      <w:highlight w:val="none"/>
                    </w:rPr>
                    <w:t>2</w:t>
                  </w:r>
                </w:p>
              </w:tc>
              <w:tc>
                <w:tcPr>
                  <w:tcW w:w="652" w:type="pct"/>
                  <w:tcBorders>
                    <w:tl2br w:val="nil"/>
                    <w:tr2bl w:val="nil"/>
                  </w:tcBorders>
                  <w:vAlign w:val="center"/>
                </w:tcPr>
                <w:p w14:paraId="76170A4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9.11×10</w:t>
                  </w:r>
                  <w:r>
                    <w:rPr>
                      <w:rFonts w:hint="default" w:ascii="Times New Roman" w:hAnsi="Times New Roman" w:cs="Times New Roman"/>
                      <w:color w:val="auto"/>
                      <w:sz w:val="18"/>
                      <w:szCs w:val="18"/>
                      <w:highlight w:val="none"/>
                      <w:vertAlign w:val="superscript"/>
                      <w:lang w:val="en-US" w:eastAsia="zh-CN"/>
                    </w:rPr>
                    <w:t>3</w:t>
                  </w:r>
                </w:p>
              </w:tc>
              <w:tc>
                <w:tcPr>
                  <w:tcW w:w="737" w:type="pct"/>
                  <w:tcBorders>
                    <w:tl2br w:val="nil"/>
                    <w:tr2bl w:val="nil"/>
                  </w:tcBorders>
                  <w:vAlign w:val="center"/>
                </w:tcPr>
                <w:p w14:paraId="551A7BD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75.3</w:t>
                  </w:r>
                </w:p>
              </w:tc>
              <w:tc>
                <w:tcPr>
                  <w:tcW w:w="737" w:type="pct"/>
                  <w:tcBorders>
                    <w:tl2br w:val="nil"/>
                    <w:tr2bl w:val="nil"/>
                  </w:tcBorders>
                  <w:vAlign w:val="center"/>
                </w:tcPr>
                <w:p w14:paraId="7C69C01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0.686 </w:t>
                  </w:r>
                </w:p>
              </w:tc>
              <w:tc>
                <w:tcPr>
                  <w:tcW w:w="737" w:type="pct"/>
                  <w:tcBorders>
                    <w:tl2br w:val="nil"/>
                    <w:tr2bl w:val="nil"/>
                  </w:tcBorders>
                  <w:vAlign w:val="center"/>
                </w:tcPr>
                <w:p w14:paraId="38B9B67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162 </w:t>
                  </w:r>
                </w:p>
              </w:tc>
              <w:tc>
                <w:tcPr>
                  <w:tcW w:w="740" w:type="pct"/>
                  <w:tcBorders>
                    <w:tl2br w:val="nil"/>
                    <w:tr2bl w:val="nil"/>
                  </w:tcBorders>
                  <w:vAlign w:val="center"/>
                </w:tcPr>
                <w:p w14:paraId="16CFD5D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1.48 </w:t>
                  </w:r>
                </w:p>
              </w:tc>
            </w:tr>
            <w:tr w14:paraId="48D09B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atLeast"/>
                <w:jc w:val="center"/>
              </w:trPr>
              <w:tc>
                <w:tcPr>
                  <w:tcW w:w="536" w:type="pct"/>
                  <w:vMerge w:val="continue"/>
                  <w:tcBorders>
                    <w:tl2br w:val="nil"/>
                    <w:tr2bl w:val="nil"/>
                  </w:tcBorders>
                  <w:vAlign w:val="center"/>
                </w:tcPr>
                <w:p w14:paraId="6D460891">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18"/>
                      <w:szCs w:val="18"/>
                      <w:highlight w:val="none"/>
                      <w:lang w:val="en-US" w:eastAsia="zh-CN" w:bidi="ar-SA"/>
                    </w:rPr>
                  </w:pPr>
                </w:p>
              </w:tc>
              <w:tc>
                <w:tcPr>
                  <w:tcW w:w="502" w:type="pct"/>
                  <w:vMerge w:val="continue"/>
                  <w:tcBorders>
                    <w:tl2br w:val="nil"/>
                    <w:tr2bl w:val="nil"/>
                  </w:tcBorders>
                  <w:vAlign w:val="center"/>
                </w:tcPr>
                <w:p w14:paraId="0B7979C2">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val="0"/>
                      <w:bCs w:val="0"/>
                      <w:color w:val="auto"/>
                      <w:kern w:val="0"/>
                      <w:sz w:val="18"/>
                      <w:szCs w:val="18"/>
                      <w:highlight w:val="none"/>
                      <w:lang w:eastAsia="zh-CN"/>
                    </w:rPr>
                  </w:pPr>
                </w:p>
              </w:tc>
              <w:tc>
                <w:tcPr>
                  <w:tcW w:w="358" w:type="pct"/>
                  <w:tcBorders>
                    <w:tl2br w:val="nil"/>
                    <w:tr2bl w:val="nil"/>
                  </w:tcBorders>
                  <w:vAlign w:val="center"/>
                </w:tcPr>
                <w:p w14:paraId="3051EBD7">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val="0"/>
                      <w:bCs w:val="0"/>
                      <w:color w:val="auto"/>
                      <w:kern w:val="0"/>
                      <w:sz w:val="18"/>
                      <w:szCs w:val="18"/>
                      <w:highlight w:val="none"/>
                      <w:lang w:eastAsia="zh-CN"/>
                    </w:rPr>
                  </w:pPr>
                  <w:r>
                    <w:rPr>
                      <w:rFonts w:hint="default" w:ascii="Times New Roman" w:hAnsi="Times New Roman" w:eastAsia="宋体" w:cs="Times New Roman"/>
                      <w:color w:val="auto"/>
                      <w:kern w:val="0"/>
                      <w:sz w:val="18"/>
                      <w:szCs w:val="18"/>
                      <w:highlight w:val="none"/>
                    </w:rPr>
                    <w:t>3</w:t>
                  </w:r>
                </w:p>
              </w:tc>
              <w:tc>
                <w:tcPr>
                  <w:tcW w:w="652" w:type="pct"/>
                  <w:tcBorders>
                    <w:tl2br w:val="nil"/>
                    <w:tr2bl w:val="nil"/>
                  </w:tcBorders>
                  <w:vAlign w:val="center"/>
                </w:tcPr>
                <w:p w14:paraId="1D621D0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9.18×10</w:t>
                  </w:r>
                  <w:r>
                    <w:rPr>
                      <w:rFonts w:hint="default" w:ascii="Times New Roman" w:hAnsi="Times New Roman" w:cs="Times New Roman"/>
                      <w:color w:val="auto"/>
                      <w:sz w:val="18"/>
                      <w:szCs w:val="18"/>
                      <w:highlight w:val="none"/>
                      <w:vertAlign w:val="superscript"/>
                      <w:lang w:val="en-US" w:eastAsia="zh-CN"/>
                    </w:rPr>
                    <w:t>3</w:t>
                  </w:r>
                </w:p>
              </w:tc>
              <w:tc>
                <w:tcPr>
                  <w:tcW w:w="737" w:type="pct"/>
                  <w:tcBorders>
                    <w:tl2br w:val="nil"/>
                    <w:tr2bl w:val="nil"/>
                  </w:tcBorders>
                  <w:vAlign w:val="center"/>
                </w:tcPr>
                <w:p w14:paraId="3036E2D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72.1</w:t>
                  </w:r>
                </w:p>
              </w:tc>
              <w:tc>
                <w:tcPr>
                  <w:tcW w:w="737" w:type="pct"/>
                  <w:tcBorders>
                    <w:tl2br w:val="nil"/>
                    <w:tr2bl w:val="nil"/>
                  </w:tcBorders>
                  <w:vAlign w:val="center"/>
                </w:tcPr>
                <w:p w14:paraId="75909C4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0.662 </w:t>
                  </w:r>
                </w:p>
              </w:tc>
              <w:tc>
                <w:tcPr>
                  <w:tcW w:w="737" w:type="pct"/>
                  <w:tcBorders>
                    <w:tl2br w:val="nil"/>
                    <w:tr2bl w:val="nil"/>
                  </w:tcBorders>
                  <w:vAlign w:val="center"/>
                </w:tcPr>
                <w:p w14:paraId="654FDE0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155 </w:t>
                  </w:r>
                </w:p>
              </w:tc>
              <w:tc>
                <w:tcPr>
                  <w:tcW w:w="740" w:type="pct"/>
                  <w:tcBorders>
                    <w:tl2br w:val="nil"/>
                    <w:tr2bl w:val="nil"/>
                  </w:tcBorders>
                  <w:vAlign w:val="center"/>
                </w:tcPr>
                <w:p w14:paraId="3C2484A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1.42 </w:t>
                  </w:r>
                </w:p>
              </w:tc>
            </w:tr>
            <w:tr w14:paraId="105980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atLeast"/>
                <w:jc w:val="center"/>
              </w:trPr>
              <w:tc>
                <w:tcPr>
                  <w:tcW w:w="536" w:type="pct"/>
                  <w:vMerge w:val="continue"/>
                  <w:tcBorders>
                    <w:tl2br w:val="nil"/>
                    <w:tr2bl w:val="nil"/>
                  </w:tcBorders>
                  <w:vAlign w:val="center"/>
                </w:tcPr>
                <w:p w14:paraId="4B491013">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18"/>
                      <w:szCs w:val="18"/>
                      <w:highlight w:val="none"/>
                      <w:lang w:val="en-US" w:eastAsia="zh-CN" w:bidi="ar-SA"/>
                    </w:rPr>
                  </w:pPr>
                </w:p>
              </w:tc>
              <w:tc>
                <w:tcPr>
                  <w:tcW w:w="502" w:type="pct"/>
                  <w:vMerge w:val="continue"/>
                  <w:tcBorders>
                    <w:tl2br w:val="nil"/>
                    <w:tr2bl w:val="nil"/>
                  </w:tcBorders>
                  <w:vAlign w:val="center"/>
                </w:tcPr>
                <w:p w14:paraId="3112768D">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val="0"/>
                      <w:bCs w:val="0"/>
                      <w:color w:val="auto"/>
                      <w:kern w:val="0"/>
                      <w:sz w:val="18"/>
                      <w:szCs w:val="18"/>
                      <w:highlight w:val="none"/>
                      <w:lang w:eastAsia="zh-CN"/>
                    </w:rPr>
                  </w:pPr>
                </w:p>
              </w:tc>
              <w:tc>
                <w:tcPr>
                  <w:tcW w:w="358" w:type="pct"/>
                  <w:tcBorders>
                    <w:tl2br w:val="nil"/>
                    <w:tr2bl w:val="nil"/>
                  </w:tcBorders>
                  <w:vAlign w:val="center"/>
                </w:tcPr>
                <w:p w14:paraId="4FDB1B21">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val="0"/>
                      <w:bCs w:val="0"/>
                      <w:color w:val="auto"/>
                      <w:kern w:val="0"/>
                      <w:sz w:val="18"/>
                      <w:szCs w:val="18"/>
                      <w:highlight w:val="none"/>
                      <w:lang w:eastAsia="zh-CN"/>
                    </w:rPr>
                  </w:pPr>
                  <w:r>
                    <w:rPr>
                      <w:rFonts w:hint="default" w:ascii="Times New Roman" w:hAnsi="Times New Roman" w:eastAsia="宋体" w:cs="Times New Roman"/>
                      <w:b w:val="0"/>
                      <w:bCs w:val="0"/>
                      <w:color w:val="auto"/>
                      <w:kern w:val="0"/>
                      <w:sz w:val="18"/>
                      <w:szCs w:val="18"/>
                      <w:highlight w:val="none"/>
                      <w:lang w:eastAsia="zh-CN"/>
                    </w:rPr>
                    <w:t>均值</w:t>
                  </w:r>
                </w:p>
              </w:tc>
              <w:tc>
                <w:tcPr>
                  <w:tcW w:w="652" w:type="pct"/>
                  <w:tcBorders>
                    <w:tl2br w:val="nil"/>
                    <w:tr2bl w:val="nil"/>
                  </w:tcBorders>
                  <w:vAlign w:val="center"/>
                </w:tcPr>
                <w:p w14:paraId="16D45E3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9.15</w:t>
                  </w:r>
                  <w:r>
                    <w:rPr>
                      <w:rFonts w:hint="default" w:ascii="Times New Roman" w:hAnsi="Times New Roman" w:eastAsia="宋体" w:cs="Times New Roman"/>
                      <w:color w:val="auto"/>
                      <w:sz w:val="18"/>
                      <w:szCs w:val="18"/>
                      <w:highlight w:val="none"/>
                      <w:lang w:val="en-US" w:eastAsia="zh-CN"/>
                    </w:rPr>
                    <w:t>×10</w:t>
                  </w:r>
                  <w:r>
                    <w:rPr>
                      <w:rFonts w:hint="eastAsia" w:cs="Times New Roman"/>
                      <w:color w:val="auto"/>
                      <w:sz w:val="18"/>
                      <w:szCs w:val="18"/>
                      <w:highlight w:val="none"/>
                      <w:vertAlign w:val="superscript"/>
                      <w:lang w:val="en-US" w:eastAsia="zh-CN"/>
                    </w:rPr>
                    <w:t>3</w:t>
                  </w:r>
                </w:p>
              </w:tc>
              <w:tc>
                <w:tcPr>
                  <w:tcW w:w="737" w:type="pct"/>
                  <w:tcBorders>
                    <w:tl2br w:val="nil"/>
                    <w:tr2bl w:val="nil"/>
                  </w:tcBorders>
                  <w:vAlign w:val="center"/>
                </w:tcPr>
                <w:p w14:paraId="010CBC1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73.2 </w:t>
                  </w:r>
                </w:p>
              </w:tc>
              <w:tc>
                <w:tcPr>
                  <w:tcW w:w="737" w:type="pct"/>
                  <w:tcBorders>
                    <w:tl2br w:val="nil"/>
                    <w:tr2bl w:val="nil"/>
                  </w:tcBorders>
                  <w:vAlign w:val="center"/>
                </w:tcPr>
                <w:p w14:paraId="051447D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0.669 </w:t>
                  </w:r>
                </w:p>
              </w:tc>
              <w:tc>
                <w:tcPr>
                  <w:tcW w:w="737" w:type="pct"/>
                  <w:tcBorders>
                    <w:tl2br w:val="nil"/>
                    <w:tr2bl w:val="nil"/>
                  </w:tcBorders>
                  <w:vAlign w:val="center"/>
                </w:tcPr>
                <w:p w14:paraId="4043713C">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155 </w:t>
                  </w:r>
                </w:p>
              </w:tc>
              <w:tc>
                <w:tcPr>
                  <w:tcW w:w="740" w:type="pct"/>
                  <w:tcBorders>
                    <w:tl2br w:val="nil"/>
                    <w:tr2bl w:val="nil"/>
                  </w:tcBorders>
                  <w:vAlign w:val="center"/>
                </w:tcPr>
                <w:p w14:paraId="0E53B22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1.42 </w:t>
                  </w:r>
                </w:p>
              </w:tc>
            </w:tr>
            <w:tr w14:paraId="783708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atLeast"/>
                <w:jc w:val="center"/>
              </w:trPr>
              <w:tc>
                <w:tcPr>
                  <w:tcW w:w="536" w:type="pct"/>
                  <w:vMerge w:val="restart"/>
                  <w:tcBorders>
                    <w:tl2br w:val="nil"/>
                    <w:tr2bl w:val="nil"/>
                  </w:tcBorders>
                  <w:vAlign w:val="center"/>
                </w:tcPr>
                <w:p w14:paraId="47078DA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kern w:val="2"/>
                      <w:sz w:val="18"/>
                      <w:szCs w:val="18"/>
                      <w:highlight w:val="none"/>
                      <w:lang w:val="en-US" w:eastAsia="zh-CN" w:bidi="ar-SA"/>
                    </w:rPr>
                  </w:pPr>
                  <w:r>
                    <w:rPr>
                      <w:rFonts w:hint="eastAsia" w:ascii="Times New Roman" w:hAnsi="Times New Roman" w:eastAsia="宋体" w:cs="Times New Roman"/>
                      <w:sz w:val="18"/>
                      <w:szCs w:val="18"/>
                      <w:highlight w:val="none"/>
                      <w:lang w:val="en-US" w:eastAsia="zh-CN"/>
                    </w:rPr>
                    <w:t>环保设备排气筒出口</w:t>
                  </w:r>
                </w:p>
              </w:tc>
              <w:tc>
                <w:tcPr>
                  <w:tcW w:w="502" w:type="pct"/>
                  <w:vMerge w:val="continue"/>
                  <w:tcBorders>
                    <w:tl2br w:val="nil"/>
                    <w:tr2bl w:val="nil"/>
                  </w:tcBorders>
                  <w:vAlign w:val="center"/>
                </w:tcPr>
                <w:p w14:paraId="5A79A030">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val="0"/>
                      <w:bCs w:val="0"/>
                      <w:color w:val="auto"/>
                      <w:kern w:val="0"/>
                      <w:sz w:val="18"/>
                      <w:szCs w:val="18"/>
                      <w:highlight w:val="none"/>
                      <w:lang w:eastAsia="zh-CN"/>
                    </w:rPr>
                  </w:pPr>
                </w:p>
              </w:tc>
              <w:tc>
                <w:tcPr>
                  <w:tcW w:w="358" w:type="pct"/>
                  <w:tcBorders>
                    <w:tl2br w:val="nil"/>
                    <w:tr2bl w:val="nil"/>
                  </w:tcBorders>
                  <w:vAlign w:val="center"/>
                </w:tcPr>
                <w:p w14:paraId="41700BD1">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val="0"/>
                      <w:bCs w:val="0"/>
                      <w:color w:val="auto"/>
                      <w:kern w:val="0"/>
                      <w:sz w:val="18"/>
                      <w:szCs w:val="18"/>
                      <w:highlight w:val="none"/>
                      <w:lang w:eastAsia="zh-CN"/>
                    </w:rPr>
                  </w:pPr>
                  <w:r>
                    <w:rPr>
                      <w:rFonts w:hint="default" w:ascii="Times New Roman" w:hAnsi="Times New Roman" w:eastAsia="宋体" w:cs="Times New Roman"/>
                      <w:color w:val="auto"/>
                      <w:kern w:val="0"/>
                      <w:sz w:val="18"/>
                      <w:szCs w:val="18"/>
                      <w:highlight w:val="none"/>
                    </w:rPr>
                    <w:t>1</w:t>
                  </w:r>
                </w:p>
              </w:tc>
              <w:tc>
                <w:tcPr>
                  <w:tcW w:w="652" w:type="pct"/>
                  <w:tcBorders>
                    <w:tl2br w:val="nil"/>
                    <w:tr2bl w:val="nil"/>
                  </w:tcBorders>
                  <w:vAlign w:val="center"/>
                </w:tcPr>
                <w:p w14:paraId="743EBE3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8.99</w:t>
                  </w:r>
                  <w:r>
                    <w:rPr>
                      <w:rFonts w:hint="default" w:ascii="Times New Roman" w:hAnsi="Times New Roman" w:eastAsia="宋体" w:cs="Times New Roman"/>
                      <w:color w:val="auto"/>
                      <w:sz w:val="18"/>
                      <w:szCs w:val="18"/>
                      <w:highlight w:val="none"/>
                      <w:lang w:val="en-US" w:eastAsia="zh-CN"/>
                    </w:rPr>
                    <w:t>×10</w:t>
                  </w:r>
                  <w:r>
                    <w:rPr>
                      <w:rFonts w:hint="eastAsia" w:cs="Times New Roman"/>
                      <w:color w:val="auto"/>
                      <w:sz w:val="18"/>
                      <w:szCs w:val="18"/>
                      <w:highlight w:val="none"/>
                      <w:vertAlign w:val="superscript"/>
                      <w:lang w:val="en-US" w:eastAsia="zh-CN"/>
                    </w:rPr>
                    <w:t>3</w:t>
                  </w:r>
                </w:p>
              </w:tc>
              <w:tc>
                <w:tcPr>
                  <w:tcW w:w="737" w:type="pct"/>
                  <w:tcBorders>
                    <w:tl2br w:val="nil"/>
                    <w:tr2bl w:val="nil"/>
                  </w:tcBorders>
                  <w:vAlign w:val="center"/>
                </w:tcPr>
                <w:p w14:paraId="7F9E4F0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7.61 </w:t>
                  </w:r>
                </w:p>
              </w:tc>
              <w:tc>
                <w:tcPr>
                  <w:tcW w:w="737" w:type="pct"/>
                  <w:tcBorders>
                    <w:tl2br w:val="nil"/>
                    <w:tr2bl w:val="nil"/>
                  </w:tcBorders>
                  <w:vAlign w:val="center"/>
                </w:tcPr>
                <w:p w14:paraId="54A2A89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0.0684 </w:t>
                  </w:r>
                </w:p>
              </w:tc>
              <w:tc>
                <w:tcPr>
                  <w:tcW w:w="737" w:type="pct"/>
                  <w:tcBorders>
                    <w:tl2br w:val="nil"/>
                    <w:tr2bl w:val="nil"/>
                  </w:tcBorders>
                  <w:vAlign w:val="center"/>
                </w:tcPr>
                <w:p w14:paraId="595E13E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4.3</w:t>
                  </w:r>
                </w:p>
              </w:tc>
              <w:tc>
                <w:tcPr>
                  <w:tcW w:w="740" w:type="pct"/>
                  <w:tcBorders>
                    <w:tl2br w:val="nil"/>
                    <w:tr2bl w:val="nil"/>
                  </w:tcBorders>
                  <w:vAlign w:val="center"/>
                </w:tcPr>
                <w:p w14:paraId="1FF7359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0.0387 </w:t>
                  </w:r>
                </w:p>
              </w:tc>
            </w:tr>
            <w:tr w14:paraId="759FB7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atLeast"/>
                <w:jc w:val="center"/>
              </w:trPr>
              <w:tc>
                <w:tcPr>
                  <w:tcW w:w="536" w:type="pct"/>
                  <w:vMerge w:val="continue"/>
                  <w:tcBorders>
                    <w:tl2br w:val="nil"/>
                    <w:tr2bl w:val="nil"/>
                  </w:tcBorders>
                  <w:vAlign w:val="center"/>
                </w:tcPr>
                <w:p w14:paraId="42A703FC">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18"/>
                      <w:szCs w:val="18"/>
                      <w:highlight w:val="none"/>
                      <w:lang w:val="en-US" w:eastAsia="zh-CN" w:bidi="ar-SA"/>
                    </w:rPr>
                  </w:pPr>
                </w:p>
              </w:tc>
              <w:tc>
                <w:tcPr>
                  <w:tcW w:w="502" w:type="pct"/>
                  <w:vMerge w:val="continue"/>
                  <w:tcBorders>
                    <w:tl2br w:val="nil"/>
                    <w:tr2bl w:val="nil"/>
                  </w:tcBorders>
                  <w:vAlign w:val="center"/>
                </w:tcPr>
                <w:p w14:paraId="64DAEED2">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val="0"/>
                      <w:bCs w:val="0"/>
                      <w:color w:val="auto"/>
                      <w:kern w:val="0"/>
                      <w:sz w:val="18"/>
                      <w:szCs w:val="18"/>
                      <w:highlight w:val="none"/>
                      <w:lang w:eastAsia="zh-CN"/>
                    </w:rPr>
                  </w:pPr>
                </w:p>
              </w:tc>
              <w:tc>
                <w:tcPr>
                  <w:tcW w:w="358" w:type="pct"/>
                  <w:tcBorders>
                    <w:tl2br w:val="nil"/>
                    <w:tr2bl w:val="nil"/>
                  </w:tcBorders>
                  <w:vAlign w:val="center"/>
                </w:tcPr>
                <w:p w14:paraId="69CE2D4A">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val="0"/>
                      <w:bCs w:val="0"/>
                      <w:color w:val="auto"/>
                      <w:kern w:val="0"/>
                      <w:sz w:val="18"/>
                      <w:szCs w:val="18"/>
                      <w:highlight w:val="none"/>
                      <w:lang w:eastAsia="zh-CN"/>
                    </w:rPr>
                  </w:pPr>
                  <w:r>
                    <w:rPr>
                      <w:rFonts w:hint="default" w:ascii="Times New Roman" w:hAnsi="Times New Roman" w:eastAsia="宋体" w:cs="Times New Roman"/>
                      <w:color w:val="auto"/>
                      <w:kern w:val="0"/>
                      <w:sz w:val="18"/>
                      <w:szCs w:val="18"/>
                      <w:highlight w:val="none"/>
                    </w:rPr>
                    <w:t>2</w:t>
                  </w:r>
                </w:p>
              </w:tc>
              <w:tc>
                <w:tcPr>
                  <w:tcW w:w="652" w:type="pct"/>
                  <w:tcBorders>
                    <w:tl2br w:val="nil"/>
                    <w:tr2bl w:val="nil"/>
                  </w:tcBorders>
                  <w:vAlign w:val="center"/>
                </w:tcPr>
                <w:p w14:paraId="568151E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9.02</w:t>
                  </w:r>
                  <w:r>
                    <w:rPr>
                      <w:rFonts w:hint="default" w:ascii="Times New Roman" w:hAnsi="Times New Roman" w:eastAsia="宋体" w:cs="Times New Roman"/>
                      <w:color w:val="auto"/>
                      <w:sz w:val="18"/>
                      <w:szCs w:val="18"/>
                      <w:highlight w:val="none"/>
                      <w:lang w:val="en-US" w:eastAsia="zh-CN"/>
                    </w:rPr>
                    <w:t>×10</w:t>
                  </w:r>
                  <w:r>
                    <w:rPr>
                      <w:rFonts w:hint="eastAsia" w:cs="Times New Roman"/>
                      <w:color w:val="auto"/>
                      <w:sz w:val="18"/>
                      <w:szCs w:val="18"/>
                      <w:highlight w:val="none"/>
                      <w:vertAlign w:val="superscript"/>
                      <w:lang w:val="en-US" w:eastAsia="zh-CN"/>
                    </w:rPr>
                    <w:t>3</w:t>
                  </w:r>
                </w:p>
              </w:tc>
              <w:tc>
                <w:tcPr>
                  <w:tcW w:w="737" w:type="pct"/>
                  <w:tcBorders>
                    <w:tl2br w:val="nil"/>
                    <w:tr2bl w:val="nil"/>
                  </w:tcBorders>
                  <w:vAlign w:val="center"/>
                </w:tcPr>
                <w:p w14:paraId="026A51B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7.20 </w:t>
                  </w:r>
                </w:p>
              </w:tc>
              <w:tc>
                <w:tcPr>
                  <w:tcW w:w="737" w:type="pct"/>
                  <w:tcBorders>
                    <w:tl2br w:val="nil"/>
                    <w:tr2bl w:val="nil"/>
                  </w:tcBorders>
                  <w:vAlign w:val="center"/>
                </w:tcPr>
                <w:p w14:paraId="646424F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0.0649 </w:t>
                  </w:r>
                </w:p>
              </w:tc>
              <w:tc>
                <w:tcPr>
                  <w:tcW w:w="737" w:type="pct"/>
                  <w:tcBorders>
                    <w:tl2br w:val="nil"/>
                    <w:tr2bl w:val="nil"/>
                  </w:tcBorders>
                  <w:vAlign w:val="center"/>
                </w:tcPr>
                <w:p w14:paraId="144CE1C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4.7</w:t>
                  </w:r>
                </w:p>
              </w:tc>
              <w:tc>
                <w:tcPr>
                  <w:tcW w:w="740" w:type="pct"/>
                  <w:tcBorders>
                    <w:tl2br w:val="nil"/>
                    <w:tr2bl w:val="nil"/>
                  </w:tcBorders>
                  <w:vAlign w:val="center"/>
                </w:tcPr>
                <w:p w14:paraId="31BF86C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0.0424 </w:t>
                  </w:r>
                </w:p>
              </w:tc>
            </w:tr>
            <w:tr w14:paraId="3D2840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atLeast"/>
                <w:jc w:val="center"/>
              </w:trPr>
              <w:tc>
                <w:tcPr>
                  <w:tcW w:w="536" w:type="pct"/>
                  <w:vMerge w:val="continue"/>
                  <w:tcBorders>
                    <w:tl2br w:val="nil"/>
                    <w:tr2bl w:val="nil"/>
                  </w:tcBorders>
                  <w:vAlign w:val="center"/>
                </w:tcPr>
                <w:p w14:paraId="1E9DFF4B">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18"/>
                      <w:szCs w:val="18"/>
                      <w:highlight w:val="none"/>
                      <w:lang w:val="en-US" w:eastAsia="zh-CN" w:bidi="ar-SA"/>
                    </w:rPr>
                  </w:pPr>
                </w:p>
              </w:tc>
              <w:tc>
                <w:tcPr>
                  <w:tcW w:w="502" w:type="pct"/>
                  <w:vMerge w:val="continue"/>
                  <w:tcBorders>
                    <w:tl2br w:val="nil"/>
                    <w:tr2bl w:val="nil"/>
                  </w:tcBorders>
                  <w:vAlign w:val="center"/>
                </w:tcPr>
                <w:p w14:paraId="0A0E5925">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val="0"/>
                      <w:bCs w:val="0"/>
                      <w:color w:val="auto"/>
                      <w:kern w:val="0"/>
                      <w:sz w:val="18"/>
                      <w:szCs w:val="18"/>
                      <w:highlight w:val="none"/>
                      <w:lang w:eastAsia="zh-CN"/>
                    </w:rPr>
                  </w:pPr>
                </w:p>
              </w:tc>
              <w:tc>
                <w:tcPr>
                  <w:tcW w:w="358" w:type="pct"/>
                  <w:tcBorders>
                    <w:tl2br w:val="nil"/>
                    <w:tr2bl w:val="nil"/>
                  </w:tcBorders>
                  <w:vAlign w:val="center"/>
                </w:tcPr>
                <w:p w14:paraId="68AD3BF6">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val="0"/>
                      <w:bCs w:val="0"/>
                      <w:color w:val="auto"/>
                      <w:kern w:val="0"/>
                      <w:sz w:val="18"/>
                      <w:szCs w:val="18"/>
                      <w:highlight w:val="none"/>
                      <w:lang w:eastAsia="zh-CN"/>
                    </w:rPr>
                  </w:pPr>
                  <w:r>
                    <w:rPr>
                      <w:rFonts w:hint="default" w:ascii="Times New Roman" w:hAnsi="Times New Roman" w:eastAsia="宋体" w:cs="Times New Roman"/>
                      <w:color w:val="auto"/>
                      <w:kern w:val="0"/>
                      <w:sz w:val="18"/>
                      <w:szCs w:val="18"/>
                      <w:highlight w:val="none"/>
                    </w:rPr>
                    <w:t>3</w:t>
                  </w:r>
                </w:p>
              </w:tc>
              <w:tc>
                <w:tcPr>
                  <w:tcW w:w="652" w:type="pct"/>
                  <w:tcBorders>
                    <w:tl2br w:val="nil"/>
                    <w:tr2bl w:val="nil"/>
                  </w:tcBorders>
                  <w:vAlign w:val="center"/>
                </w:tcPr>
                <w:p w14:paraId="5DB3564C">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8.94</w:t>
                  </w:r>
                  <w:r>
                    <w:rPr>
                      <w:rFonts w:hint="default" w:ascii="Times New Roman" w:hAnsi="Times New Roman" w:eastAsia="宋体" w:cs="Times New Roman"/>
                      <w:color w:val="auto"/>
                      <w:sz w:val="18"/>
                      <w:szCs w:val="18"/>
                      <w:highlight w:val="none"/>
                      <w:lang w:val="en-US" w:eastAsia="zh-CN"/>
                    </w:rPr>
                    <w:t>×10</w:t>
                  </w:r>
                  <w:r>
                    <w:rPr>
                      <w:rFonts w:hint="eastAsia" w:cs="Times New Roman"/>
                      <w:color w:val="auto"/>
                      <w:sz w:val="18"/>
                      <w:szCs w:val="18"/>
                      <w:highlight w:val="none"/>
                      <w:vertAlign w:val="superscript"/>
                      <w:lang w:val="en-US" w:eastAsia="zh-CN"/>
                    </w:rPr>
                    <w:t>3</w:t>
                  </w:r>
                </w:p>
              </w:tc>
              <w:tc>
                <w:tcPr>
                  <w:tcW w:w="737" w:type="pct"/>
                  <w:tcBorders>
                    <w:tl2br w:val="nil"/>
                    <w:tr2bl w:val="nil"/>
                  </w:tcBorders>
                  <w:vAlign w:val="center"/>
                </w:tcPr>
                <w:p w14:paraId="159E718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7.46 </w:t>
                  </w:r>
                </w:p>
              </w:tc>
              <w:tc>
                <w:tcPr>
                  <w:tcW w:w="737" w:type="pct"/>
                  <w:tcBorders>
                    <w:tl2br w:val="nil"/>
                    <w:tr2bl w:val="nil"/>
                  </w:tcBorders>
                  <w:vAlign w:val="center"/>
                </w:tcPr>
                <w:p w14:paraId="6372445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0.0667 </w:t>
                  </w:r>
                </w:p>
              </w:tc>
              <w:tc>
                <w:tcPr>
                  <w:tcW w:w="737" w:type="pct"/>
                  <w:tcBorders>
                    <w:tl2br w:val="nil"/>
                    <w:tr2bl w:val="nil"/>
                  </w:tcBorders>
                  <w:vAlign w:val="center"/>
                </w:tcPr>
                <w:p w14:paraId="22AC29E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4.9</w:t>
                  </w:r>
                </w:p>
              </w:tc>
              <w:tc>
                <w:tcPr>
                  <w:tcW w:w="740" w:type="pct"/>
                  <w:tcBorders>
                    <w:tl2br w:val="nil"/>
                    <w:tr2bl w:val="nil"/>
                  </w:tcBorders>
                  <w:vAlign w:val="center"/>
                </w:tcPr>
                <w:p w14:paraId="716D9AD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0.0438 </w:t>
                  </w:r>
                </w:p>
              </w:tc>
            </w:tr>
            <w:tr w14:paraId="1F9CDC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atLeast"/>
                <w:jc w:val="center"/>
              </w:trPr>
              <w:tc>
                <w:tcPr>
                  <w:tcW w:w="536" w:type="pct"/>
                  <w:vMerge w:val="continue"/>
                  <w:tcBorders>
                    <w:tl2br w:val="nil"/>
                    <w:tr2bl w:val="nil"/>
                  </w:tcBorders>
                  <w:vAlign w:val="center"/>
                </w:tcPr>
                <w:p w14:paraId="08B77971">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18"/>
                      <w:szCs w:val="18"/>
                      <w:highlight w:val="none"/>
                      <w:lang w:val="en-US" w:eastAsia="zh-CN" w:bidi="ar-SA"/>
                    </w:rPr>
                  </w:pPr>
                </w:p>
              </w:tc>
              <w:tc>
                <w:tcPr>
                  <w:tcW w:w="502" w:type="pct"/>
                  <w:vMerge w:val="continue"/>
                  <w:tcBorders>
                    <w:tl2br w:val="nil"/>
                    <w:tr2bl w:val="nil"/>
                  </w:tcBorders>
                  <w:vAlign w:val="center"/>
                </w:tcPr>
                <w:p w14:paraId="21DC044C">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val="0"/>
                      <w:bCs w:val="0"/>
                      <w:color w:val="auto"/>
                      <w:kern w:val="0"/>
                      <w:sz w:val="18"/>
                      <w:szCs w:val="18"/>
                      <w:highlight w:val="none"/>
                      <w:lang w:eastAsia="zh-CN"/>
                    </w:rPr>
                  </w:pPr>
                </w:p>
              </w:tc>
              <w:tc>
                <w:tcPr>
                  <w:tcW w:w="358" w:type="pct"/>
                  <w:tcBorders>
                    <w:tl2br w:val="nil"/>
                    <w:tr2bl w:val="nil"/>
                  </w:tcBorders>
                  <w:vAlign w:val="center"/>
                </w:tcPr>
                <w:p w14:paraId="0525F435">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val="0"/>
                      <w:bCs w:val="0"/>
                      <w:color w:val="auto"/>
                      <w:kern w:val="0"/>
                      <w:sz w:val="18"/>
                      <w:szCs w:val="18"/>
                      <w:highlight w:val="none"/>
                      <w:lang w:eastAsia="zh-CN"/>
                    </w:rPr>
                  </w:pPr>
                  <w:r>
                    <w:rPr>
                      <w:rFonts w:hint="default" w:ascii="Times New Roman" w:hAnsi="Times New Roman" w:eastAsia="宋体" w:cs="Times New Roman"/>
                      <w:b w:val="0"/>
                      <w:bCs w:val="0"/>
                      <w:color w:val="auto"/>
                      <w:kern w:val="0"/>
                      <w:sz w:val="18"/>
                      <w:szCs w:val="18"/>
                      <w:highlight w:val="none"/>
                      <w:lang w:eastAsia="zh-CN"/>
                    </w:rPr>
                    <w:t>均值</w:t>
                  </w:r>
                </w:p>
              </w:tc>
              <w:tc>
                <w:tcPr>
                  <w:tcW w:w="652" w:type="pct"/>
                  <w:tcBorders>
                    <w:tl2br w:val="nil"/>
                    <w:tr2bl w:val="nil"/>
                  </w:tcBorders>
                  <w:vAlign w:val="center"/>
                </w:tcPr>
                <w:p w14:paraId="5AB9AB6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18"/>
                      <w:szCs w:val="18"/>
                      <w:highlight w:val="none"/>
                      <w:lang w:val="en-US" w:eastAsia="zh-CN"/>
                    </w:rPr>
                  </w:pPr>
                  <w:r>
                    <w:rPr>
                      <w:rFonts w:hint="eastAsia" w:ascii="Times New Roman" w:hAnsi="Times New Roman" w:eastAsia="宋体" w:cs="Times New Roman"/>
                      <w:color w:val="auto"/>
                      <w:sz w:val="18"/>
                      <w:szCs w:val="18"/>
                      <w:highlight w:val="none"/>
                      <w:lang w:val="en-US" w:eastAsia="zh-CN"/>
                    </w:rPr>
                    <w:t>8.98</w:t>
                  </w:r>
                  <w:r>
                    <w:rPr>
                      <w:rFonts w:hint="default" w:ascii="Times New Roman" w:hAnsi="Times New Roman" w:eastAsia="宋体" w:cs="Times New Roman"/>
                      <w:color w:val="auto"/>
                      <w:sz w:val="18"/>
                      <w:szCs w:val="18"/>
                      <w:highlight w:val="none"/>
                      <w:lang w:val="en-US" w:eastAsia="zh-CN"/>
                    </w:rPr>
                    <w:t>×10</w:t>
                  </w:r>
                  <w:r>
                    <w:rPr>
                      <w:rFonts w:hint="eastAsia" w:cs="Times New Roman"/>
                      <w:color w:val="auto"/>
                      <w:sz w:val="18"/>
                      <w:szCs w:val="18"/>
                      <w:highlight w:val="none"/>
                      <w:vertAlign w:val="superscript"/>
                      <w:lang w:val="en-US" w:eastAsia="zh-CN"/>
                    </w:rPr>
                    <w:t>3</w:t>
                  </w:r>
                </w:p>
              </w:tc>
              <w:tc>
                <w:tcPr>
                  <w:tcW w:w="737" w:type="pct"/>
                  <w:tcBorders>
                    <w:tl2br w:val="nil"/>
                    <w:tr2bl w:val="nil"/>
                  </w:tcBorders>
                  <w:vAlign w:val="center"/>
                </w:tcPr>
                <w:p w14:paraId="4CB2F67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7.42 </w:t>
                  </w:r>
                </w:p>
              </w:tc>
              <w:tc>
                <w:tcPr>
                  <w:tcW w:w="737" w:type="pct"/>
                  <w:tcBorders>
                    <w:tl2br w:val="nil"/>
                    <w:tr2bl w:val="nil"/>
                  </w:tcBorders>
                  <w:vAlign w:val="center"/>
                </w:tcPr>
                <w:p w14:paraId="211524F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0.0667 </w:t>
                  </w:r>
                </w:p>
              </w:tc>
              <w:tc>
                <w:tcPr>
                  <w:tcW w:w="737" w:type="pct"/>
                  <w:tcBorders>
                    <w:tl2br w:val="nil"/>
                    <w:tr2bl w:val="nil"/>
                  </w:tcBorders>
                  <w:vAlign w:val="center"/>
                </w:tcPr>
                <w:p w14:paraId="74CE0E9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4.6 </w:t>
                  </w:r>
                </w:p>
              </w:tc>
              <w:tc>
                <w:tcPr>
                  <w:tcW w:w="740" w:type="pct"/>
                  <w:tcBorders>
                    <w:tl2br w:val="nil"/>
                    <w:tr2bl w:val="nil"/>
                  </w:tcBorders>
                  <w:vAlign w:val="center"/>
                </w:tcPr>
                <w:p w14:paraId="4801FFD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0.0416 </w:t>
                  </w:r>
                </w:p>
              </w:tc>
            </w:tr>
            <w:tr w14:paraId="2D9BFA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9" w:hRule="atLeast"/>
                <w:jc w:val="center"/>
              </w:trPr>
              <w:tc>
                <w:tcPr>
                  <w:tcW w:w="2048" w:type="pct"/>
                  <w:gridSpan w:val="4"/>
                  <w:tcBorders>
                    <w:tl2br w:val="nil"/>
                    <w:tr2bl w:val="nil"/>
                  </w:tcBorders>
                  <w:vAlign w:val="center"/>
                </w:tcPr>
                <w:p w14:paraId="742C83CC">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color w:val="auto"/>
                      <w:sz w:val="18"/>
                      <w:szCs w:val="18"/>
                      <w:highlight w:val="none"/>
                      <w:lang w:val="en-US" w:eastAsia="zh-CN"/>
                    </w:rPr>
                  </w:pPr>
                  <w:r>
                    <w:rPr>
                      <w:rFonts w:hint="default" w:ascii="Times New Roman" w:hAnsi="Times New Roman" w:cs="Times New Roman"/>
                      <w:color w:val="auto"/>
                      <w:kern w:val="2"/>
                      <w:sz w:val="18"/>
                      <w:szCs w:val="18"/>
                      <w:highlight w:val="none"/>
                      <w:lang w:val="en-US" w:eastAsia="zh-CN" w:bidi="ar-SA"/>
                    </w:rPr>
                    <w:t>去除率（%）</w:t>
                  </w:r>
                </w:p>
              </w:tc>
              <w:tc>
                <w:tcPr>
                  <w:tcW w:w="1474" w:type="pct"/>
                  <w:gridSpan w:val="2"/>
                  <w:tcBorders>
                    <w:tl2br w:val="nil"/>
                    <w:tr2bl w:val="nil"/>
                  </w:tcBorders>
                  <w:vAlign w:val="center"/>
                </w:tcPr>
                <w:p w14:paraId="075E726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90.0</w:t>
                  </w:r>
                </w:p>
              </w:tc>
              <w:tc>
                <w:tcPr>
                  <w:tcW w:w="1477" w:type="pct"/>
                  <w:gridSpan w:val="2"/>
                  <w:tcBorders>
                    <w:tl2br w:val="nil"/>
                    <w:tr2bl w:val="nil"/>
                  </w:tcBorders>
                  <w:vAlign w:val="center"/>
                </w:tcPr>
                <w:p w14:paraId="0A615B6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kern w:val="2"/>
                      <w:sz w:val="18"/>
                      <w:szCs w:val="18"/>
                      <w:highlight w:val="none"/>
                      <w:lang w:val="en-US" w:eastAsia="zh-CN" w:bidi="ar-SA"/>
                    </w:rPr>
                    <w:t>97.1</w:t>
                  </w:r>
                </w:p>
              </w:tc>
            </w:tr>
          </w:tbl>
          <w:p w14:paraId="1164668D">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由上表可知，本</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项目</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非甲烷总烃排放浓</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度在</w:t>
            </w:r>
            <w:r>
              <w:rPr>
                <w:rFonts w:hint="default" w:ascii="Times New Roman" w:hAnsi="Times New Roman" w:cs="Times New Roman"/>
                <w:b w:val="0"/>
                <w:bCs w:val="0"/>
                <w:color w:val="000000" w:themeColor="text1"/>
                <w:kern w:val="2"/>
                <w:sz w:val="24"/>
                <w:szCs w:val="24"/>
                <w:lang w:val="en-US" w:eastAsia="zh-CN" w:bidi="ar-SA"/>
                <w14:textFill>
                  <w14:solidFill>
                    <w14:schemeClr w14:val="tx1"/>
                  </w14:solidFill>
                </w14:textFill>
              </w:rPr>
              <w:t>7.18-7.61</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mg/m</w:t>
            </w:r>
            <w:r>
              <w:rPr>
                <w:rFonts w:hint="default" w:ascii="Times New Roman" w:hAnsi="Times New Roman" w:eastAsia="宋体" w:cs="Times New Roman"/>
                <w:b w:val="0"/>
                <w:bCs w:val="0"/>
                <w:color w:val="000000" w:themeColor="text1"/>
                <w:kern w:val="2"/>
                <w:sz w:val="24"/>
                <w:szCs w:val="24"/>
                <w:vertAlign w:val="superscript"/>
                <w:lang w:val="en-US" w:eastAsia="zh-CN" w:bidi="ar-SA"/>
                <w14:textFill>
                  <w14:solidFill>
                    <w14:schemeClr w14:val="tx1"/>
                  </w14:solidFill>
                </w14:textFill>
              </w:rPr>
              <w:t>3</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之间，</w:t>
            </w:r>
            <w:r>
              <w:rPr>
                <w:rFonts w:hint="eastAsia" w:ascii="Times New Roman" w:hAnsi="Times New Roman" w:eastAsia="宋体" w:cs="Times New Roman"/>
                <w:b w:val="0"/>
                <w:bCs w:val="0"/>
                <w:color w:val="000000"/>
                <w:sz w:val="24"/>
                <w:szCs w:val="24"/>
                <w:u w:val="none"/>
                <w:lang w:val="en-US" w:eastAsia="zh-CN"/>
              </w:rPr>
              <w:t>满足《关于全省开展工业企业挥发性有机物专项治理工作中排放建议值的通知（豫环攻坚办〔2017〕162 号）》要求（</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排放浓度</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有组织8</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0mg/</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m</w:t>
            </w:r>
            <w:r>
              <w:rPr>
                <w:rFonts w:hint="default" w:ascii="Times New Roman" w:hAnsi="Times New Roman" w:cs="Times New Roman" w:eastAsiaTheme="minorEastAsia"/>
                <w:b w:val="0"/>
                <w:bCs w:val="0"/>
                <w:color w:val="000000" w:themeColor="text1"/>
                <w:kern w:val="2"/>
                <w:sz w:val="24"/>
                <w:szCs w:val="24"/>
                <w:vertAlign w:val="superscript"/>
                <w:lang w:val="en-US" w:eastAsia="zh-CN" w:bidi="ar-SA"/>
                <w14:textFill>
                  <w14:solidFill>
                    <w14:schemeClr w14:val="tx1"/>
                  </w14:solidFill>
                </w14:textFill>
              </w:rPr>
              <w:t>3</w:t>
            </w:r>
            <w:r>
              <w:rPr>
                <w:rFonts w:hint="default" w:ascii="Times New Roman" w:hAnsi="Times New Roman" w:cs="Times New Roman" w:eastAsiaTheme="minorEastAsia"/>
                <w:b w:val="0"/>
                <w:bCs w:val="0"/>
                <w:color w:val="000000"/>
                <w:sz w:val="24"/>
                <w:szCs w:val="24"/>
                <w:u w:val="none"/>
                <w:lang w:val="en-US" w:eastAsia="zh-CN"/>
              </w:rPr>
              <w:t>）；</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颗粒物放浓度在4.1-4.9mg/m</w:t>
            </w:r>
            <w:r>
              <w:rPr>
                <w:rFonts w:hint="default" w:ascii="Times New Roman" w:hAnsi="Times New Roman" w:cs="Times New Roman" w:eastAsiaTheme="minorEastAsia"/>
                <w:b w:val="0"/>
                <w:bCs w:val="0"/>
                <w:color w:val="000000" w:themeColor="text1"/>
                <w:kern w:val="2"/>
                <w:sz w:val="24"/>
                <w:szCs w:val="24"/>
                <w:vertAlign w:val="superscript"/>
                <w:lang w:val="en-US" w:eastAsia="zh-CN" w:bidi="ar-SA"/>
                <w14:textFill>
                  <w14:solidFill>
                    <w14:schemeClr w14:val="tx1"/>
                  </w14:solidFill>
                </w14:textFill>
              </w:rPr>
              <w:t>3</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之间，满足</w:t>
            </w:r>
            <w:r>
              <w:rPr>
                <w:rFonts w:hint="default" w:ascii="Times New Roman" w:hAnsi="Times New Roman" w:cs="Times New Roman" w:eastAsiaTheme="minorEastAsia"/>
                <w:color w:val="auto"/>
                <w:sz w:val="24"/>
                <w:szCs w:val="24"/>
              </w:rPr>
              <w:t>《工业炉窑大气污染物排放标准》</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DB411066-2020</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有组织：10mg/m</w:t>
            </w:r>
            <w:r>
              <w:rPr>
                <w:rFonts w:hint="default" w:ascii="Times New Roman" w:hAnsi="Times New Roman" w:cs="Times New Roman" w:eastAsiaTheme="minorEastAsia"/>
                <w:b w:val="0"/>
                <w:bCs w:val="0"/>
                <w:color w:val="000000" w:themeColor="text1"/>
                <w:kern w:val="2"/>
                <w:sz w:val="24"/>
                <w:szCs w:val="24"/>
                <w:vertAlign w:val="superscript"/>
                <w:lang w:val="en-US" w:eastAsia="zh-CN" w:bidi="ar-SA"/>
                <w14:textFill>
                  <w14:solidFill>
                    <w14:schemeClr w14:val="tx1"/>
                  </w14:solidFill>
                </w14:textFill>
              </w:rPr>
              <w:t>3</w:t>
            </w:r>
            <w:r>
              <w:rPr>
                <w:rFonts w:hint="default" w:ascii="Times New Roman" w:hAnsi="Times New Roman" w:cs="Times New Roman" w:eastAsiaTheme="minorEastAsia"/>
                <w:color w:val="auto"/>
                <w:sz w:val="24"/>
                <w:szCs w:val="24"/>
                <w:lang w:eastAsia="zh-CN"/>
              </w:rPr>
              <w:t>）</w:t>
            </w:r>
            <w:r>
              <w:rPr>
                <w:rFonts w:hint="eastAsia"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《铸造工业大气污染物排放标准》（GB39726-2020）（有组织：30mg/m</w:t>
            </w:r>
            <w:r>
              <w:rPr>
                <w:rFonts w:hint="default" w:ascii="Times New Roman" w:hAnsi="Times New Roman" w:cs="Times New Roman" w:eastAsiaTheme="minorEastAsia"/>
                <w:b w:val="0"/>
                <w:bCs w:val="0"/>
                <w:color w:val="000000" w:themeColor="text1"/>
                <w:kern w:val="2"/>
                <w:sz w:val="24"/>
                <w:szCs w:val="24"/>
                <w:vertAlign w:val="superscript"/>
                <w:lang w:val="en-US" w:eastAsia="zh-CN" w:bidi="ar-SA"/>
                <w14:textFill>
                  <w14:solidFill>
                    <w14:schemeClr w14:val="tx1"/>
                  </w14:solidFill>
                </w14:textFill>
              </w:rPr>
              <w:t>3</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，同时满足《新乡市生态环境局关于进一步规范工业企业颗粒物排放限值的通知》要求（排放浓度</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有组织</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10mg/m</w:t>
            </w:r>
            <w:r>
              <w:rPr>
                <w:rFonts w:hint="default" w:ascii="Times New Roman" w:hAnsi="Times New Roman" w:eastAsia="宋体" w:cs="Times New Roman"/>
                <w:b w:val="0"/>
                <w:bCs w:val="0"/>
                <w:color w:val="000000" w:themeColor="text1"/>
                <w:kern w:val="2"/>
                <w:sz w:val="24"/>
                <w:szCs w:val="24"/>
                <w:vertAlign w:val="superscript"/>
                <w:lang w:val="en-US" w:eastAsia="zh-CN" w:bidi="ar-SA"/>
                <w14:textFill>
                  <w14:solidFill>
                    <w14:schemeClr w14:val="tx1"/>
                  </w14:solidFill>
                </w14:textFill>
              </w:rPr>
              <w:t>3</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w:t>
            </w:r>
          </w:p>
          <w:p w14:paraId="40BED165">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cs="Times New Roman" w:eastAsiaTheme="minorEastAsia"/>
                <w:b/>
                <w:bCs/>
                <w:color w:val="auto"/>
                <w:kern w:val="2"/>
                <w:sz w:val="24"/>
                <w:szCs w:val="24"/>
                <w:lang w:val="en-US" w:eastAsia="zh-CN" w:bidi="ar-SA"/>
              </w:rPr>
            </w:pPr>
            <w:r>
              <w:rPr>
                <w:rFonts w:hint="default" w:ascii="Times New Roman" w:hAnsi="Times New Roman" w:cs="Times New Roman" w:eastAsiaTheme="minorEastAsia"/>
                <w:b/>
                <w:bCs/>
                <w:color w:val="auto"/>
                <w:kern w:val="2"/>
                <w:sz w:val="24"/>
                <w:szCs w:val="24"/>
                <w:lang w:val="en-US" w:eastAsia="zh-CN" w:bidi="ar-SA"/>
              </w:rPr>
              <w:t>表</w:t>
            </w:r>
            <w:r>
              <w:rPr>
                <w:rFonts w:hint="eastAsia" w:ascii="Times New Roman" w:hAnsi="Times New Roman" w:cs="Times New Roman" w:eastAsiaTheme="minorEastAsia"/>
                <w:b/>
                <w:bCs/>
                <w:color w:val="auto"/>
                <w:kern w:val="2"/>
                <w:sz w:val="24"/>
                <w:szCs w:val="24"/>
                <w:lang w:val="en-US" w:eastAsia="zh-CN" w:bidi="ar-SA"/>
              </w:rPr>
              <w:t>16   无组织废气检测</w:t>
            </w:r>
            <w:r>
              <w:rPr>
                <w:rFonts w:hint="default" w:ascii="Times New Roman" w:hAnsi="Times New Roman" w:cs="Times New Roman" w:eastAsiaTheme="minorEastAsia"/>
                <w:b/>
                <w:bCs/>
                <w:color w:val="auto"/>
                <w:kern w:val="2"/>
                <w:sz w:val="24"/>
                <w:szCs w:val="24"/>
                <w:lang w:val="en-US" w:eastAsia="zh-CN" w:bidi="ar-SA"/>
              </w:rPr>
              <w:t>结果</w:t>
            </w:r>
          </w:p>
          <w:tbl>
            <w:tblPr>
              <w:tblStyle w:val="18"/>
              <w:tblW w:w="4999"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8" w:type="dxa"/>
                <w:left w:w="108" w:type="dxa"/>
                <w:bottom w:w="108" w:type="dxa"/>
                <w:right w:w="108" w:type="dxa"/>
              </w:tblCellMar>
            </w:tblPr>
            <w:tblGrid>
              <w:gridCol w:w="1222"/>
              <w:gridCol w:w="1030"/>
              <w:gridCol w:w="1200"/>
              <w:gridCol w:w="1853"/>
              <w:gridCol w:w="1813"/>
              <w:gridCol w:w="1943"/>
            </w:tblGrid>
            <w:tr w14:paraId="6D457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37" w:hRule="exact"/>
              </w:trPr>
              <w:tc>
                <w:tcPr>
                  <w:tcW w:w="674" w:type="pct"/>
                  <w:tcBorders>
                    <w:tl2br w:val="nil"/>
                    <w:tr2bl w:val="nil"/>
                  </w:tcBorders>
                  <w:vAlign w:val="center"/>
                </w:tcPr>
                <w:p w14:paraId="23973BFB">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采样日期</w:t>
                  </w:r>
                </w:p>
              </w:tc>
              <w:tc>
                <w:tcPr>
                  <w:tcW w:w="568" w:type="pct"/>
                  <w:tcBorders>
                    <w:tl2br w:val="nil"/>
                    <w:tr2bl w:val="nil"/>
                  </w:tcBorders>
                  <w:vAlign w:val="center"/>
                </w:tcPr>
                <w:p w14:paraId="33448345">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bCs/>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rPr>
                    <w:t>检测频次</w:t>
                  </w:r>
                </w:p>
              </w:tc>
              <w:tc>
                <w:tcPr>
                  <w:tcW w:w="662" w:type="pct"/>
                  <w:tcBorders>
                    <w:tl2br w:val="nil"/>
                    <w:tr2bl w:val="nil"/>
                  </w:tcBorders>
                  <w:vAlign w:val="center"/>
                </w:tcPr>
                <w:p w14:paraId="7BE183D5">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bCs/>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rPr>
                    <w:t>检测点位</w:t>
                  </w:r>
                </w:p>
              </w:tc>
              <w:tc>
                <w:tcPr>
                  <w:tcW w:w="1022" w:type="pct"/>
                  <w:tcBorders>
                    <w:tl2br w:val="nil"/>
                    <w:tr2bl w:val="nil"/>
                  </w:tcBorders>
                  <w:vAlign w:val="center"/>
                </w:tcPr>
                <w:p w14:paraId="2F5FB425">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非甲烷总烃</w:t>
                  </w:r>
                  <w:r>
                    <w:rPr>
                      <w:rFonts w:hint="default" w:ascii="Times New Roman" w:hAnsi="Times New Roman" w:eastAsia="宋体" w:cs="Times New Roman"/>
                      <w:color w:val="auto"/>
                      <w:sz w:val="18"/>
                      <w:szCs w:val="18"/>
                      <w:highlight w:val="none"/>
                    </w:rPr>
                    <w:t>（mg/m</w:t>
                  </w:r>
                  <w:r>
                    <w:rPr>
                      <w:rFonts w:hint="default" w:ascii="Times New Roman" w:hAnsi="Times New Roman" w:eastAsia="宋体" w:cs="Times New Roman"/>
                      <w:color w:val="auto"/>
                      <w:sz w:val="18"/>
                      <w:szCs w:val="18"/>
                      <w:highlight w:val="none"/>
                      <w:vertAlign w:val="superscript"/>
                    </w:rPr>
                    <w:t>3</w:t>
                  </w:r>
                  <w:r>
                    <w:rPr>
                      <w:rFonts w:hint="default" w:ascii="Times New Roman" w:hAnsi="Times New Roman" w:eastAsia="宋体" w:cs="Times New Roman"/>
                      <w:color w:val="auto"/>
                      <w:sz w:val="18"/>
                      <w:szCs w:val="18"/>
                      <w:highlight w:val="none"/>
                    </w:rPr>
                    <w:t>）</w:t>
                  </w:r>
                </w:p>
              </w:tc>
              <w:tc>
                <w:tcPr>
                  <w:tcW w:w="1000" w:type="pct"/>
                  <w:tcBorders>
                    <w:tl2br w:val="nil"/>
                    <w:tr2bl w:val="nil"/>
                  </w:tcBorders>
                  <w:vAlign w:val="center"/>
                </w:tcPr>
                <w:p w14:paraId="449085E5">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val="en-US" w:eastAsia="zh-CN"/>
                    </w:rPr>
                    <w:t>颗粒物</w:t>
                  </w:r>
                  <w:r>
                    <w:rPr>
                      <w:rFonts w:hint="default" w:ascii="Times New Roman" w:hAnsi="Times New Roman" w:eastAsia="宋体" w:cs="Times New Roman"/>
                      <w:color w:val="auto"/>
                      <w:sz w:val="18"/>
                      <w:szCs w:val="18"/>
                      <w:highlight w:val="none"/>
                    </w:rPr>
                    <w:t>（mg/m</w:t>
                  </w:r>
                  <w:r>
                    <w:rPr>
                      <w:rFonts w:hint="default" w:ascii="Times New Roman" w:hAnsi="Times New Roman" w:eastAsia="宋体" w:cs="Times New Roman"/>
                      <w:color w:val="auto"/>
                      <w:sz w:val="18"/>
                      <w:szCs w:val="18"/>
                      <w:highlight w:val="none"/>
                      <w:vertAlign w:val="superscript"/>
                    </w:rPr>
                    <w:t>3</w:t>
                  </w:r>
                  <w:r>
                    <w:rPr>
                      <w:rFonts w:hint="default" w:ascii="Times New Roman" w:hAnsi="Times New Roman" w:eastAsia="宋体" w:cs="Times New Roman"/>
                      <w:color w:val="auto"/>
                      <w:sz w:val="18"/>
                      <w:szCs w:val="18"/>
                      <w:highlight w:val="none"/>
                    </w:rPr>
                    <w:t>）</w:t>
                  </w:r>
                </w:p>
              </w:tc>
              <w:tc>
                <w:tcPr>
                  <w:tcW w:w="1072" w:type="pct"/>
                  <w:tcBorders>
                    <w:tl2br w:val="nil"/>
                    <w:tr2bl w:val="nil"/>
                  </w:tcBorders>
                  <w:vAlign w:val="center"/>
                </w:tcPr>
                <w:p w14:paraId="2D625B1B">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rPr>
                    <w:t>备注</w:t>
                  </w:r>
                </w:p>
              </w:tc>
            </w:tr>
            <w:tr w14:paraId="5A5C1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37" w:hRule="exact"/>
              </w:trPr>
              <w:tc>
                <w:tcPr>
                  <w:tcW w:w="674" w:type="pct"/>
                  <w:vMerge w:val="restart"/>
                  <w:tcBorders>
                    <w:tl2br w:val="nil"/>
                    <w:tr2bl w:val="nil"/>
                  </w:tcBorders>
                  <w:vAlign w:val="center"/>
                </w:tcPr>
                <w:p w14:paraId="5F5C8E51">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2025.8.22</w:t>
                  </w:r>
                </w:p>
              </w:tc>
              <w:tc>
                <w:tcPr>
                  <w:tcW w:w="568" w:type="pct"/>
                  <w:vMerge w:val="restart"/>
                  <w:tcBorders>
                    <w:tl2br w:val="nil"/>
                    <w:tr2bl w:val="nil"/>
                  </w:tcBorders>
                  <w:vAlign w:val="center"/>
                </w:tcPr>
                <w:p w14:paraId="0555D8E9">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rPr>
                    <w:t>第一次</w:t>
                  </w:r>
                </w:p>
              </w:tc>
              <w:tc>
                <w:tcPr>
                  <w:tcW w:w="662" w:type="pct"/>
                  <w:tcBorders>
                    <w:tl2br w:val="nil"/>
                    <w:tr2bl w:val="nil"/>
                  </w:tcBorders>
                  <w:vAlign w:val="center"/>
                </w:tcPr>
                <w:p w14:paraId="74A406CD">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sz w:val="18"/>
                      <w:szCs w:val="18"/>
                      <w:highlight w:val="none"/>
                      <w:lang w:val="en-US" w:eastAsia="zh-CN"/>
                    </w:rPr>
                    <w:t>上风向</w:t>
                  </w:r>
                </w:p>
              </w:tc>
              <w:tc>
                <w:tcPr>
                  <w:tcW w:w="1022" w:type="pct"/>
                  <w:tcBorders>
                    <w:tl2br w:val="nil"/>
                    <w:tr2bl w:val="nil"/>
                  </w:tcBorders>
                  <w:vAlign w:val="center"/>
                </w:tcPr>
                <w:p w14:paraId="3454ECCE">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0.45</w:t>
                  </w:r>
                </w:p>
              </w:tc>
              <w:tc>
                <w:tcPr>
                  <w:tcW w:w="2085" w:type="dxa"/>
                  <w:tcBorders>
                    <w:tl2br w:val="nil"/>
                    <w:tr2bl w:val="nil"/>
                  </w:tcBorders>
                  <w:vAlign w:val="center"/>
                </w:tcPr>
                <w:p w14:paraId="6FA0B41B">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 xml:space="preserve">0.248 </w:t>
                  </w:r>
                </w:p>
              </w:tc>
              <w:tc>
                <w:tcPr>
                  <w:tcW w:w="1072" w:type="pct"/>
                  <w:vMerge w:val="restart"/>
                  <w:tcBorders>
                    <w:tl2br w:val="nil"/>
                    <w:tr2bl w:val="nil"/>
                  </w:tcBorders>
                  <w:vAlign w:val="center"/>
                </w:tcPr>
                <w:p w14:paraId="1CEB2F7F">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阴，平均温度29.5℃，平均气压100.2kpa，西南风，风速1.7~2.6m/s</w:t>
                  </w:r>
                </w:p>
              </w:tc>
            </w:tr>
            <w:tr w14:paraId="71EDE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37" w:hRule="exact"/>
              </w:trPr>
              <w:tc>
                <w:tcPr>
                  <w:tcW w:w="674" w:type="pct"/>
                  <w:vMerge w:val="continue"/>
                  <w:tcBorders>
                    <w:tl2br w:val="nil"/>
                    <w:tr2bl w:val="nil"/>
                  </w:tcBorders>
                  <w:vAlign w:val="center"/>
                </w:tcPr>
                <w:p w14:paraId="57C64777">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highlight w:val="none"/>
                      <w:vertAlign w:val="baseline"/>
                    </w:rPr>
                  </w:pPr>
                </w:p>
              </w:tc>
              <w:tc>
                <w:tcPr>
                  <w:tcW w:w="568" w:type="pct"/>
                  <w:vMerge w:val="continue"/>
                  <w:tcBorders>
                    <w:tl2br w:val="nil"/>
                    <w:tr2bl w:val="nil"/>
                  </w:tcBorders>
                  <w:vAlign w:val="center"/>
                </w:tcPr>
                <w:p w14:paraId="6BAD5C07">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highlight w:val="none"/>
                      <w:vertAlign w:val="baseline"/>
                    </w:rPr>
                  </w:pPr>
                </w:p>
              </w:tc>
              <w:tc>
                <w:tcPr>
                  <w:tcW w:w="662" w:type="pct"/>
                  <w:tcBorders>
                    <w:tl2br w:val="nil"/>
                    <w:tr2bl w:val="nil"/>
                  </w:tcBorders>
                  <w:vAlign w:val="center"/>
                </w:tcPr>
                <w:p w14:paraId="21C2085B">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sz w:val="18"/>
                      <w:szCs w:val="18"/>
                      <w:highlight w:val="none"/>
                      <w:lang w:val="en-US" w:eastAsia="zh-CN"/>
                    </w:rPr>
                    <w:t>下风向1#</w:t>
                  </w:r>
                </w:p>
              </w:tc>
              <w:tc>
                <w:tcPr>
                  <w:tcW w:w="1022" w:type="pct"/>
                  <w:tcBorders>
                    <w:tl2br w:val="nil"/>
                    <w:tr2bl w:val="nil"/>
                  </w:tcBorders>
                  <w:vAlign w:val="center"/>
                </w:tcPr>
                <w:p w14:paraId="56F0278B">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0.52</w:t>
                  </w:r>
                </w:p>
              </w:tc>
              <w:tc>
                <w:tcPr>
                  <w:tcW w:w="2085" w:type="dxa"/>
                  <w:tcBorders>
                    <w:tl2br w:val="nil"/>
                    <w:tr2bl w:val="nil"/>
                  </w:tcBorders>
                  <w:vAlign w:val="center"/>
                </w:tcPr>
                <w:p w14:paraId="66FED2CD">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 xml:space="preserve">0.341 </w:t>
                  </w:r>
                </w:p>
              </w:tc>
              <w:tc>
                <w:tcPr>
                  <w:tcW w:w="1072" w:type="pct"/>
                  <w:vMerge w:val="continue"/>
                  <w:tcBorders>
                    <w:tl2br w:val="nil"/>
                    <w:tr2bl w:val="nil"/>
                  </w:tcBorders>
                  <w:vAlign w:val="center"/>
                </w:tcPr>
                <w:p w14:paraId="30149B78">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p>
              </w:tc>
            </w:tr>
            <w:tr w14:paraId="75382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37" w:hRule="exact"/>
              </w:trPr>
              <w:tc>
                <w:tcPr>
                  <w:tcW w:w="674" w:type="pct"/>
                  <w:vMerge w:val="continue"/>
                  <w:tcBorders>
                    <w:tl2br w:val="nil"/>
                    <w:tr2bl w:val="nil"/>
                  </w:tcBorders>
                  <w:vAlign w:val="center"/>
                </w:tcPr>
                <w:p w14:paraId="47E3F653">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highlight w:val="none"/>
                      <w:vertAlign w:val="baseline"/>
                    </w:rPr>
                  </w:pPr>
                </w:p>
              </w:tc>
              <w:tc>
                <w:tcPr>
                  <w:tcW w:w="568" w:type="pct"/>
                  <w:vMerge w:val="continue"/>
                  <w:tcBorders>
                    <w:tl2br w:val="nil"/>
                    <w:tr2bl w:val="nil"/>
                  </w:tcBorders>
                  <w:vAlign w:val="center"/>
                </w:tcPr>
                <w:p w14:paraId="5D1CBF43">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highlight w:val="none"/>
                      <w:vertAlign w:val="baseline"/>
                    </w:rPr>
                  </w:pPr>
                </w:p>
              </w:tc>
              <w:tc>
                <w:tcPr>
                  <w:tcW w:w="662" w:type="pct"/>
                  <w:tcBorders>
                    <w:tl2br w:val="nil"/>
                    <w:tr2bl w:val="nil"/>
                  </w:tcBorders>
                  <w:vAlign w:val="center"/>
                </w:tcPr>
                <w:p w14:paraId="7C6073F0">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sz w:val="18"/>
                      <w:szCs w:val="18"/>
                      <w:highlight w:val="none"/>
                      <w:lang w:val="en-US" w:eastAsia="zh-CN"/>
                    </w:rPr>
                    <w:t>下风向2#</w:t>
                  </w:r>
                </w:p>
              </w:tc>
              <w:tc>
                <w:tcPr>
                  <w:tcW w:w="1022" w:type="pct"/>
                  <w:tcBorders>
                    <w:tl2br w:val="nil"/>
                    <w:tr2bl w:val="nil"/>
                  </w:tcBorders>
                  <w:vAlign w:val="center"/>
                </w:tcPr>
                <w:p w14:paraId="0B58D563">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0.53</w:t>
                  </w:r>
                </w:p>
              </w:tc>
              <w:tc>
                <w:tcPr>
                  <w:tcW w:w="2085" w:type="dxa"/>
                  <w:tcBorders>
                    <w:tl2br w:val="nil"/>
                    <w:tr2bl w:val="nil"/>
                  </w:tcBorders>
                  <w:vAlign w:val="center"/>
                </w:tcPr>
                <w:p w14:paraId="4A55D434">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 xml:space="preserve">0.315 </w:t>
                  </w:r>
                </w:p>
              </w:tc>
              <w:tc>
                <w:tcPr>
                  <w:tcW w:w="1072" w:type="pct"/>
                  <w:vMerge w:val="continue"/>
                  <w:tcBorders>
                    <w:tl2br w:val="nil"/>
                    <w:tr2bl w:val="nil"/>
                  </w:tcBorders>
                  <w:vAlign w:val="center"/>
                </w:tcPr>
                <w:p w14:paraId="75138A2E">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p>
              </w:tc>
            </w:tr>
            <w:tr w14:paraId="2E990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37" w:hRule="exact"/>
              </w:trPr>
              <w:tc>
                <w:tcPr>
                  <w:tcW w:w="674" w:type="pct"/>
                  <w:vMerge w:val="continue"/>
                  <w:tcBorders>
                    <w:tl2br w:val="nil"/>
                    <w:tr2bl w:val="nil"/>
                  </w:tcBorders>
                  <w:vAlign w:val="center"/>
                </w:tcPr>
                <w:p w14:paraId="1A367CE7">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highlight w:val="none"/>
                      <w:vertAlign w:val="baseline"/>
                    </w:rPr>
                  </w:pPr>
                </w:p>
              </w:tc>
              <w:tc>
                <w:tcPr>
                  <w:tcW w:w="568" w:type="pct"/>
                  <w:vMerge w:val="continue"/>
                  <w:tcBorders>
                    <w:tl2br w:val="nil"/>
                    <w:tr2bl w:val="nil"/>
                  </w:tcBorders>
                  <w:vAlign w:val="center"/>
                </w:tcPr>
                <w:p w14:paraId="7CFDE08F">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highlight w:val="none"/>
                      <w:vertAlign w:val="baseline"/>
                    </w:rPr>
                  </w:pPr>
                </w:p>
              </w:tc>
              <w:tc>
                <w:tcPr>
                  <w:tcW w:w="662" w:type="pct"/>
                  <w:tcBorders>
                    <w:tl2br w:val="nil"/>
                    <w:tr2bl w:val="nil"/>
                  </w:tcBorders>
                  <w:vAlign w:val="center"/>
                </w:tcPr>
                <w:p w14:paraId="23AE95F7">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sz w:val="18"/>
                      <w:szCs w:val="18"/>
                      <w:highlight w:val="none"/>
                      <w:lang w:val="en-US" w:eastAsia="zh-CN"/>
                    </w:rPr>
                    <w:t>下风向3#</w:t>
                  </w:r>
                </w:p>
              </w:tc>
              <w:tc>
                <w:tcPr>
                  <w:tcW w:w="1022" w:type="pct"/>
                  <w:tcBorders>
                    <w:tl2br w:val="nil"/>
                    <w:tr2bl w:val="nil"/>
                  </w:tcBorders>
                  <w:vAlign w:val="center"/>
                </w:tcPr>
                <w:p w14:paraId="6DEBB36E">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0.63</w:t>
                  </w:r>
                </w:p>
              </w:tc>
              <w:tc>
                <w:tcPr>
                  <w:tcW w:w="2085" w:type="dxa"/>
                  <w:tcBorders>
                    <w:tl2br w:val="nil"/>
                    <w:tr2bl w:val="nil"/>
                  </w:tcBorders>
                  <w:vAlign w:val="center"/>
                </w:tcPr>
                <w:p w14:paraId="22DD02B9">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 xml:space="preserve">0.328 </w:t>
                  </w:r>
                </w:p>
              </w:tc>
              <w:tc>
                <w:tcPr>
                  <w:tcW w:w="1072" w:type="pct"/>
                  <w:vMerge w:val="continue"/>
                  <w:tcBorders>
                    <w:tl2br w:val="nil"/>
                    <w:tr2bl w:val="nil"/>
                  </w:tcBorders>
                  <w:vAlign w:val="center"/>
                </w:tcPr>
                <w:p w14:paraId="14F565B5">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p>
              </w:tc>
            </w:tr>
            <w:tr w14:paraId="5E930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37" w:hRule="exact"/>
              </w:trPr>
              <w:tc>
                <w:tcPr>
                  <w:tcW w:w="674" w:type="pct"/>
                  <w:vMerge w:val="continue"/>
                  <w:tcBorders>
                    <w:tl2br w:val="nil"/>
                    <w:tr2bl w:val="nil"/>
                  </w:tcBorders>
                  <w:vAlign w:val="center"/>
                </w:tcPr>
                <w:p w14:paraId="65796F59">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highlight w:val="none"/>
                    </w:rPr>
                  </w:pPr>
                </w:p>
              </w:tc>
              <w:tc>
                <w:tcPr>
                  <w:tcW w:w="568" w:type="pct"/>
                  <w:vMerge w:val="restart"/>
                  <w:tcBorders>
                    <w:tl2br w:val="nil"/>
                    <w:tr2bl w:val="nil"/>
                  </w:tcBorders>
                  <w:vAlign w:val="center"/>
                </w:tcPr>
                <w:p w14:paraId="44D79F9F">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rPr>
                    <w:t>第二次</w:t>
                  </w:r>
                </w:p>
              </w:tc>
              <w:tc>
                <w:tcPr>
                  <w:tcW w:w="662" w:type="pct"/>
                  <w:tcBorders>
                    <w:tl2br w:val="nil"/>
                    <w:tr2bl w:val="nil"/>
                  </w:tcBorders>
                  <w:vAlign w:val="center"/>
                </w:tcPr>
                <w:p w14:paraId="6937EFB4">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sz w:val="18"/>
                      <w:szCs w:val="18"/>
                      <w:highlight w:val="none"/>
                      <w:lang w:val="en-US" w:eastAsia="zh-CN"/>
                    </w:rPr>
                    <w:t>上风向</w:t>
                  </w:r>
                </w:p>
              </w:tc>
              <w:tc>
                <w:tcPr>
                  <w:tcW w:w="1022" w:type="pct"/>
                  <w:tcBorders>
                    <w:tl2br w:val="nil"/>
                    <w:tr2bl w:val="nil"/>
                  </w:tcBorders>
                  <w:vAlign w:val="center"/>
                </w:tcPr>
                <w:p w14:paraId="51E2DE17">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0.48</w:t>
                  </w:r>
                </w:p>
              </w:tc>
              <w:tc>
                <w:tcPr>
                  <w:tcW w:w="2085" w:type="dxa"/>
                  <w:tcBorders>
                    <w:tl2br w:val="nil"/>
                    <w:tr2bl w:val="nil"/>
                  </w:tcBorders>
                  <w:vAlign w:val="center"/>
                </w:tcPr>
                <w:p w14:paraId="116C9CF8">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 xml:space="preserve">0.246 </w:t>
                  </w:r>
                </w:p>
              </w:tc>
              <w:tc>
                <w:tcPr>
                  <w:tcW w:w="1072" w:type="pct"/>
                  <w:vMerge w:val="continue"/>
                  <w:tcBorders>
                    <w:tl2br w:val="nil"/>
                    <w:tr2bl w:val="nil"/>
                  </w:tcBorders>
                  <w:vAlign w:val="center"/>
                </w:tcPr>
                <w:p w14:paraId="0330D400">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p>
              </w:tc>
            </w:tr>
            <w:tr w14:paraId="0E231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37" w:hRule="exact"/>
              </w:trPr>
              <w:tc>
                <w:tcPr>
                  <w:tcW w:w="674" w:type="pct"/>
                  <w:vMerge w:val="continue"/>
                  <w:tcBorders>
                    <w:tl2br w:val="nil"/>
                    <w:tr2bl w:val="nil"/>
                  </w:tcBorders>
                  <w:vAlign w:val="center"/>
                </w:tcPr>
                <w:p w14:paraId="56F39C1C">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highlight w:val="none"/>
                      <w:vertAlign w:val="baseline"/>
                    </w:rPr>
                  </w:pPr>
                </w:p>
              </w:tc>
              <w:tc>
                <w:tcPr>
                  <w:tcW w:w="568" w:type="pct"/>
                  <w:vMerge w:val="continue"/>
                  <w:tcBorders>
                    <w:tl2br w:val="nil"/>
                    <w:tr2bl w:val="nil"/>
                  </w:tcBorders>
                  <w:vAlign w:val="center"/>
                </w:tcPr>
                <w:p w14:paraId="5D3A053F">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highlight w:val="none"/>
                      <w:vertAlign w:val="baseline"/>
                    </w:rPr>
                  </w:pPr>
                </w:p>
              </w:tc>
              <w:tc>
                <w:tcPr>
                  <w:tcW w:w="662" w:type="pct"/>
                  <w:tcBorders>
                    <w:tl2br w:val="nil"/>
                    <w:tr2bl w:val="nil"/>
                  </w:tcBorders>
                  <w:vAlign w:val="center"/>
                </w:tcPr>
                <w:p w14:paraId="6515DAB9">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sz w:val="18"/>
                      <w:szCs w:val="18"/>
                      <w:highlight w:val="none"/>
                      <w:lang w:val="en-US" w:eastAsia="zh-CN"/>
                    </w:rPr>
                    <w:t>下风向1#</w:t>
                  </w:r>
                </w:p>
              </w:tc>
              <w:tc>
                <w:tcPr>
                  <w:tcW w:w="1022" w:type="pct"/>
                  <w:tcBorders>
                    <w:tl2br w:val="nil"/>
                    <w:tr2bl w:val="nil"/>
                  </w:tcBorders>
                  <w:vAlign w:val="center"/>
                </w:tcPr>
                <w:p w14:paraId="54C85BDF">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0.56</w:t>
                  </w:r>
                </w:p>
              </w:tc>
              <w:tc>
                <w:tcPr>
                  <w:tcW w:w="2085" w:type="dxa"/>
                  <w:tcBorders>
                    <w:tl2br w:val="nil"/>
                    <w:tr2bl w:val="nil"/>
                  </w:tcBorders>
                  <w:vAlign w:val="center"/>
                </w:tcPr>
                <w:p w14:paraId="7151AA05">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 xml:space="preserve">0.309 </w:t>
                  </w:r>
                </w:p>
              </w:tc>
              <w:tc>
                <w:tcPr>
                  <w:tcW w:w="1072" w:type="pct"/>
                  <w:vMerge w:val="continue"/>
                  <w:tcBorders>
                    <w:tl2br w:val="nil"/>
                    <w:tr2bl w:val="nil"/>
                  </w:tcBorders>
                  <w:vAlign w:val="center"/>
                </w:tcPr>
                <w:p w14:paraId="0C1BEDA6">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p>
              </w:tc>
            </w:tr>
            <w:tr w14:paraId="5ECF6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37" w:hRule="exact"/>
              </w:trPr>
              <w:tc>
                <w:tcPr>
                  <w:tcW w:w="674" w:type="pct"/>
                  <w:vMerge w:val="continue"/>
                  <w:tcBorders>
                    <w:tl2br w:val="nil"/>
                    <w:tr2bl w:val="nil"/>
                  </w:tcBorders>
                  <w:vAlign w:val="center"/>
                </w:tcPr>
                <w:p w14:paraId="1672A885">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highlight w:val="none"/>
                      <w:vertAlign w:val="baseline"/>
                    </w:rPr>
                  </w:pPr>
                </w:p>
              </w:tc>
              <w:tc>
                <w:tcPr>
                  <w:tcW w:w="568" w:type="pct"/>
                  <w:vMerge w:val="continue"/>
                  <w:tcBorders>
                    <w:tl2br w:val="nil"/>
                    <w:tr2bl w:val="nil"/>
                  </w:tcBorders>
                  <w:vAlign w:val="center"/>
                </w:tcPr>
                <w:p w14:paraId="69D1D57E">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highlight w:val="none"/>
                      <w:vertAlign w:val="baseline"/>
                    </w:rPr>
                  </w:pPr>
                </w:p>
              </w:tc>
              <w:tc>
                <w:tcPr>
                  <w:tcW w:w="662" w:type="pct"/>
                  <w:tcBorders>
                    <w:tl2br w:val="nil"/>
                    <w:tr2bl w:val="nil"/>
                  </w:tcBorders>
                  <w:vAlign w:val="center"/>
                </w:tcPr>
                <w:p w14:paraId="2AB9C537">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sz w:val="18"/>
                      <w:szCs w:val="18"/>
                      <w:highlight w:val="none"/>
                      <w:lang w:val="en-US" w:eastAsia="zh-CN"/>
                    </w:rPr>
                    <w:t>下风向2#</w:t>
                  </w:r>
                </w:p>
              </w:tc>
              <w:tc>
                <w:tcPr>
                  <w:tcW w:w="1022" w:type="pct"/>
                  <w:tcBorders>
                    <w:tl2br w:val="nil"/>
                    <w:tr2bl w:val="nil"/>
                  </w:tcBorders>
                  <w:vAlign w:val="center"/>
                </w:tcPr>
                <w:p w14:paraId="265C872F">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0.56</w:t>
                  </w:r>
                </w:p>
              </w:tc>
              <w:tc>
                <w:tcPr>
                  <w:tcW w:w="2085" w:type="dxa"/>
                  <w:tcBorders>
                    <w:tl2br w:val="nil"/>
                    <w:tr2bl w:val="nil"/>
                  </w:tcBorders>
                  <w:vAlign w:val="center"/>
                </w:tcPr>
                <w:p w14:paraId="60247731">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 xml:space="preserve">0.323 </w:t>
                  </w:r>
                </w:p>
              </w:tc>
              <w:tc>
                <w:tcPr>
                  <w:tcW w:w="1072" w:type="pct"/>
                  <w:vMerge w:val="continue"/>
                  <w:tcBorders>
                    <w:tl2br w:val="nil"/>
                    <w:tr2bl w:val="nil"/>
                  </w:tcBorders>
                  <w:vAlign w:val="center"/>
                </w:tcPr>
                <w:p w14:paraId="0E990ADE">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p>
              </w:tc>
            </w:tr>
            <w:tr w14:paraId="50D8D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37" w:hRule="exact"/>
              </w:trPr>
              <w:tc>
                <w:tcPr>
                  <w:tcW w:w="674" w:type="pct"/>
                  <w:vMerge w:val="continue"/>
                  <w:tcBorders>
                    <w:tl2br w:val="nil"/>
                    <w:tr2bl w:val="nil"/>
                  </w:tcBorders>
                  <w:vAlign w:val="center"/>
                </w:tcPr>
                <w:p w14:paraId="135CD664">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highlight w:val="none"/>
                      <w:vertAlign w:val="baseline"/>
                    </w:rPr>
                  </w:pPr>
                </w:p>
              </w:tc>
              <w:tc>
                <w:tcPr>
                  <w:tcW w:w="568" w:type="pct"/>
                  <w:vMerge w:val="continue"/>
                  <w:tcBorders>
                    <w:tl2br w:val="nil"/>
                    <w:tr2bl w:val="nil"/>
                  </w:tcBorders>
                  <w:vAlign w:val="center"/>
                </w:tcPr>
                <w:p w14:paraId="668AF636">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highlight w:val="none"/>
                      <w:vertAlign w:val="baseline"/>
                    </w:rPr>
                  </w:pPr>
                </w:p>
              </w:tc>
              <w:tc>
                <w:tcPr>
                  <w:tcW w:w="662" w:type="pct"/>
                  <w:tcBorders>
                    <w:tl2br w:val="nil"/>
                    <w:tr2bl w:val="nil"/>
                  </w:tcBorders>
                  <w:vAlign w:val="center"/>
                </w:tcPr>
                <w:p w14:paraId="3CF2E100">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sz w:val="18"/>
                      <w:szCs w:val="18"/>
                      <w:highlight w:val="none"/>
                      <w:lang w:val="en-US" w:eastAsia="zh-CN"/>
                    </w:rPr>
                    <w:t>下风向3#</w:t>
                  </w:r>
                </w:p>
              </w:tc>
              <w:tc>
                <w:tcPr>
                  <w:tcW w:w="1022" w:type="pct"/>
                  <w:tcBorders>
                    <w:tl2br w:val="nil"/>
                    <w:tr2bl w:val="nil"/>
                  </w:tcBorders>
                  <w:vAlign w:val="center"/>
                </w:tcPr>
                <w:p w14:paraId="49B64BFD">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0.62</w:t>
                  </w:r>
                </w:p>
              </w:tc>
              <w:tc>
                <w:tcPr>
                  <w:tcW w:w="2085" w:type="dxa"/>
                  <w:tcBorders>
                    <w:tl2br w:val="nil"/>
                    <w:tr2bl w:val="nil"/>
                  </w:tcBorders>
                  <w:vAlign w:val="center"/>
                </w:tcPr>
                <w:p w14:paraId="5CA8E405">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 xml:space="preserve">0.315 </w:t>
                  </w:r>
                </w:p>
              </w:tc>
              <w:tc>
                <w:tcPr>
                  <w:tcW w:w="1072" w:type="pct"/>
                  <w:vMerge w:val="continue"/>
                  <w:tcBorders>
                    <w:tl2br w:val="nil"/>
                    <w:tr2bl w:val="nil"/>
                  </w:tcBorders>
                  <w:vAlign w:val="center"/>
                </w:tcPr>
                <w:p w14:paraId="1E2CFA2B">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p>
              </w:tc>
            </w:tr>
            <w:tr w14:paraId="7403B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37" w:hRule="exact"/>
              </w:trPr>
              <w:tc>
                <w:tcPr>
                  <w:tcW w:w="674" w:type="pct"/>
                  <w:vMerge w:val="continue"/>
                  <w:tcBorders>
                    <w:tl2br w:val="nil"/>
                    <w:tr2bl w:val="nil"/>
                  </w:tcBorders>
                  <w:vAlign w:val="center"/>
                </w:tcPr>
                <w:p w14:paraId="5BD795CD">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highlight w:val="none"/>
                    </w:rPr>
                  </w:pPr>
                </w:p>
              </w:tc>
              <w:tc>
                <w:tcPr>
                  <w:tcW w:w="568" w:type="pct"/>
                  <w:vMerge w:val="restart"/>
                  <w:tcBorders>
                    <w:tl2br w:val="nil"/>
                    <w:tr2bl w:val="nil"/>
                  </w:tcBorders>
                  <w:vAlign w:val="center"/>
                </w:tcPr>
                <w:p w14:paraId="2C38C5FD">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rPr>
                    <w:t>第三次</w:t>
                  </w:r>
                </w:p>
              </w:tc>
              <w:tc>
                <w:tcPr>
                  <w:tcW w:w="662" w:type="pct"/>
                  <w:tcBorders>
                    <w:tl2br w:val="nil"/>
                    <w:tr2bl w:val="nil"/>
                  </w:tcBorders>
                  <w:vAlign w:val="center"/>
                </w:tcPr>
                <w:p w14:paraId="4AD863C0">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sz w:val="18"/>
                      <w:szCs w:val="18"/>
                      <w:highlight w:val="none"/>
                      <w:lang w:val="en-US" w:eastAsia="zh-CN"/>
                    </w:rPr>
                    <w:t>上风向</w:t>
                  </w:r>
                </w:p>
              </w:tc>
              <w:tc>
                <w:tcPr>
                  <w:tcW w:w="1022" w:type="pct"/>
                  <w:tcBorders>
                    <w:tl2br w:val="nil"/>
                    <w:tr2bl w:val="nil"/>
                  </w:tcBorders>
                  <w:vAlign w:val="center"/>
                </w:tcPr>
                <w:p w14:paraId="0ECFB481">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0.41</w:t>
                  </w:r>
                </w:p>
              </w:tc>
              <w:tc>
                <w:tcPr>
                  <w:tcW w:w="2085" w:type="dxa"/>
                  <w:tcBorders>
                    <w:tl2br w:val="nil"/>
                    <w:tr2bl w:val="nil"/>
                  </w:tcBorders>
                  <w:vAlign w:val="center"/>
                </w:tcPr>
                <w:p w14:paraId="042DD7CC">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 xml:space="preserve">0.274 </w:t>
                  </w:r>
                </w:p>
              </w:tc>
              <w:tc>
                <w:tcPr>
                  <w:tcW w:w="1072" w:type="pct"/>
                  <w:vMerge w:val="continue"/>
                  <w:tcBorders>
                    <w:tl2br w:val="nil"/>
                    <w:tr2bl w:val="nil"/>
                  </w:tcBorders>
                  <w:vAlign w:val="center"/>
                </w:tcPr>
                <w:p w14:paraId="688E8739">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p>
              </w:tc>
            </w:tr>
            <w:tr w14:paraId="202DC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37" w:hRule="exact"/>
              </w:trPr>
              <w:tc>
                <w:tcPr>
                  <w:tcW w:w="674" w:type="pct"/>
                  <w:vMerge w:val="continue"/>
                  <w:tcBorders>
                    <w:tl2br w:val="nil"/>
                    <w:tr2bl w:val="nil"/>
                  </w:tcBorders>
                  <w:vAlign w:val="center"/>
                </w:tcPr>
                <w:p w14:paraId="2344483E">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highlight w:val="none"/>
                      <w:vertAlign w:val="baseline"/>
                    </w:rPr>
                  </w:pPr>
                </w:p>
              </w:tc>
              <w:tc>
                <w:tcPr>
                  <w:tcW w:w="568" w:type="pct"/>
                  <w:vMerge w:val="continue"/>
                  <w:tcBorders>
                    <w:tl2br w:val="nil"/>
                    <w:tr2bl w:val="nil"/>
                  </w:tcBorders>
                  <w:vAlign w:val="center"/>
                </w:tcPr>
                <w:p w14:paraId="3FECA235">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highlight w:val="none"/>
                      <w:vertAlign w:val="baseline"/>
                    </w:rPr>
                  </w:pPr>
                </w:p>
              </w:tc>
              <w:tc>
                <w:tcPr>
                  <w:tcW w:w="662" w:type="pct"/>
                  <w:tcBorders>
                    <w:tl2br w:val="nil"/>
                    <w:tr2bl w:val="nil"/>
                  </w:tcBorders>
                  <w:vAlign w:val="center"/>
                </w:tcPr>
                <w:p w14:paraId="2477565F">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sz w:val="18"/>
                      <w:szCs w:val="18"/>
                      <w:highlight w:val="none"/>
                      <w:lang w:val="en-US" w:eastAsia="zh-CN"/>
                    </w:rPr>
                    <w:t>下风向1#</w:t>
                  </w:r>
                </w:p>
              </w:tc>
              <w:tc>
                <w:tcPr>
                  <w:tcW w:w="1022" w:type="pct"/>
                  <w:tcBorders>
                    <w:tl2br w:val="nil"/>
                    <w:tr2bl w:val="nil"/>
                  </w:tcBorders>
                  <w:vAlign w:val="center"/>
                </w:tcPr>
                <w:p w14:paraId="375D33B5">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0.58</w:t>
                  </w:r>
                </w:p>
              </w:tc>
              <w:tc>
                <w:tcPr>
                  <w:tcW w:w="2085" w:type="dxa"/>
                  <w:tcBorders>
                    <w:tl2br w:val="nil"/>
                    <w:tr2bl w:val="nil"/>
                  </w:tcBorders>
                  <w:vAlign w:val="center"/>
                </w:tcPr>
                <w:p w14:paraId="5C543D17">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 xml:space="preserve">0.336 </w:t>
                  </w:r>
                </w:p>
              </w:tc>
              <w:tc>
                <w:tcPr>
                  <w:tcW w:w="1072" w:type="pct"/>
                  <w:vMerge w:val="continue"/>
                  <w:tcBorders>
                    <w:tl2br w:val="nil"/>
                    <w:tr2bl w:val="nil"/>
                  </w:tcBorders>
                  <w:vAlign w:val="center"/>
                </w:tcPr>
                <w:p w14:paraId="7F41CEC4">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p>
              </w:tc>
            </w:tr>
            <w:tr w14:paraId="4571C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37" w:hRule="exact"/>
              </w:trPr>
              <w:tc>
                <w:tcPr>
                  <w:tcW w:w="674" w:type="pct"/>
                  <w:vMerge w:val="continue"/>
                  <w:tcBorders>
                    <w:tl2br w:val="nil"/>
                    <w:tr2bl w:val="nil"/>
                  </w:tcBorders>
                  <w:vAlign w:val="center"/>
                </w:tcPr>
                <w:p w14:paraId="636B7219">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highlight w:val="none"/>
                      <w:vertAlign w:val="baseline"/>
                      <w:lang w:val="en-US" w:eastAsia="zh-CN"/>
                    </w:rPr>
                  </w:pPr>
                </w:p>
              </w:tc>
              <w:tc>
                <w:tcPr>
                  <w:tcW w:w="568" w:type="pct"/>
                  <w:vMerge w:val="continue"/>
                  <w:tcBorders>
                    <w:tl2br w:val="nil"/>
                    <w:tr2bl w:val="nil"/>
                  </w:tcBorders>
                  <w:vAlign w:val="center"/>
                </w:tcPr>
                <w:p w14:paraId="320215B9">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highlight w:val="none"/>
                      <w:vertAlign w:val="baseline"/>
                    </w:rPr>
                  </w:pPr>
                </w:p>
              </w:tc>
              <w:tc>
                <w:tcPr>
                  <w:tcW w:w="662" w:type="pct"/>
                  <w:tcBorders>
                    <w:tl2br w:val="nil"/>
                    <w:tr2bl w:val="nil"/>
                  </w:tcBorders>
                  <w:vAlign w:val="center"/>
                </w:tcPr>
                <w:p w14:paraId="026152DB">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18"/>
                      <w:szCs w:val="18"/>
                      <w:highlight w:val="none"/>
                      <w:u w:val="none"/>
                      <w:lang w:val="en-US" w:eastAsia="zh-CN" w:bidi="ar-SA"/>
                    </w:rPr>
                  </w:pPr>
                  <w:r>
                    <w:rPr>
                      <w:rFonts w:hint="default" w:ascii="Times New Roman" w:hAnsi="Times New Roman" w:eastAsia="宋体" w:cs="Times New Roman"/>
                      <w:sz w:val="18"/>
                      <w:szCs w:val="18"/>
                      <w:highlight w:val="none"/>
                      <w:lang w:val="en-US" w:eastAsia="zh-CN"/>
                    </w:rPr>
                    <w:t>下风向2#</w:t>
                  </w:r>
                </w:p>
              </w:tc>
              <w:tc>
                <w:tcPr>
                  <w:tcW w:w="1022" w:type="pct"/>
                  <w:tcBorders>
                    <w:tl2br w:val="nil"/>
                    <w:tr2bl w:val="nil"/>
                  </w:tcBorders>
                  <w:vAlign w:val="center"/>
                </w:tcPr>
                <w:p w14:paraId="25AEB1DE">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0.57</w:t>
                  </w:r>
                </w:p>
              </w:tc>
              <w:tc>
                <w:tcPr>
                  <w:tcW w:w="2085" w:type="dxa"/>
                  <w:tcBorders>
                    <w:tl2br w:val="nil"/>
                    <w:tr2bl w:val="nil"/>
                  </w:tcBorders>
                  <w:vAlign w:val="center"/>
                </w:tcPr>
                <w:p w14:paraId="25BC0A38">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 xml:space="preserve">0.324 </w:t>
                  </w:r>
                </w:p>
              </w:tc>
              <w:tc>
                <w:tcPr>
                  <w:tcW w:w="1072" w:type="pct"/>
                  <w:vMerge w:val="continue"/>
                  <w:tcBorders>
                    <w:tl2br w:val="nil"/>
                    <w:tr2bl w:val="nil"/>
                  </w:tcBorders>
                  <w:vAlign w:val="center"/>
                </w:tcPr>
                <w:p w14:paraId="0477F73E">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p>
              </w:tc>
            </w:tr>
            <w:tr w14:paraId="15061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37" w:hRule="exact"/>
              </w:trPr>
              <w:tc>
                <w:tcPr>
                  <w:tcW w:w="674" w:type="pct"/>
                  <w:vMerge w:val="continue"/>
                  <w:tcBorders>
                    <w:tl2br w:val="nil"/>
                    <w:tr2bl w:val="nil"/>
                  </w:tcBorders>
                  <w:vAlign w:val="center"/>
                </w:tcPr>
                <w:p w14:paraId="5107E102">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highlight w:val="none"/>
                      <w:vertAlign w:val="baseline"/>
                    </w:rPr>
                  </w:pPr>
                </w:p>
              </w:tc>
              <w:tc>
                <w:tcPr>
                  <w:tcW w:w="568" w:type="pct"/>
                  <w:vMerge w:val="continue"/>
                  <w:tcBorders>
                    <w:tl2br w:val="nil"/>
                    <w:tr2bl w:val="nil"/>
                  </w:tcBorders>
                  <w:vAlign w:val="center"/>
                </w:tcPr>
                <w:p w14:paraId="32E68153">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highlight w:val="none"/>
                      <w:vertAlign w:val="baseline"/>
                    </w:rPr>
                  </w:pPr>
                </w:p>
              </w:tc>
              <w:tc>
                <w:tcPr>
                  <w:tcW w:w="662" w:type="pct"/>
                  <w:tcBorders>
                    <w:tl2br w:val="nil"/>
                    <w:tr2bl w:val="nil"/>
                  </w:tcBorders>
                  <w:vAlign w:val="center"/>
                </w:tcPr>
                <w:p w14:paraId="651A3C40">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sz w:val="18"/>
                      <w:szCs w:val="18"/>
                      <w:highlight w:val="none"/>
                      <w:lang w:val="en-US" w:eastAsia="zh-CN"/>
                    </w:rPr>
                    <w:t>下风向3#</w:t>
                  </w:r>
                </w:p>
              </w:tc>
              <w:tc>
                <w:tcPr>
                  <w:tcW w:w="1022" w:type="pct"/>
                  <w:tcBorders>
                    <w:tl2br w:val="nil"/>
                    <w:tr2bl w:val="nil"/>
                  </w:tcBorders>
                  <w:vAlign w:val="center"/>
                </w:tcPr>
                <w:p w14:paraId="52AD6281">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0.66</w:t>
                  </w:r>
                </w:p>
              </w:tc>
              <w:tc>
                <w:tcPr>
                  <w:tcW w:w="2085" w:type="dxa"/>
                  <w:tcBorders>
                    <w:tl2br w:val="nil"/>
                    <w:tr2bl w:val="nil"/>
                  </w:tcBorders>
                  <w:vAlign w:val="center"/>
                </w:tcPr>
                <w:p w14:paraId="37169A57">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 xml:space="preserve">0.330 </w:t>
                  </w:r>
                </w:p>
              </w:tc>
              <w:tc>
                <w:tcPr>
                  <w:tcW w:w="1072" w:type="pct"/>
                  <w:vMerge w:val="continue"/>
                  <w:tcBorders>
                    <w:tl2br w:val="nil"/>
                    <w:tr2bl w:val="nil"/>
                  </w:tcBorders>
                  <w:vAlign w:val="center"/>
                </w:tcPr>
                <w:p w14:paraId="0E78AF6F">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p>
              </w:tc>
            </w:tr>
            <w:tr w14:paraId="7826C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37" w:hRule="exact"/>
              </w:trPr>
              <w:tc>
                <w:tcPr>
                  <w:tcW w:w="674" w:type="pct"/>
                  <w:vMerge w:val="restart"/>
                  <w:tcBorders>
                    <w:tl2br w:val="nil"/>
                    <w:tr2bl w:val="nil"/>
                  </w:tcBorders>
                  <w:vAlign w:val="center"/>
                </w:tcPr>
                <w:p w14:paraId="2F85A2A3">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highlight w:val="none"/>
                      <w:vertAlign w:val="baseline"/>
                      <w:lang w:val="en-US" w:eastAsia="zh-CN"/>
                    </w:rPr>
                  </w:pPr>
                  <w:r>
                    <w:rPr>
                      <w:rFonts w:hint="default" w:ascii="Times New Roman" w:hAnsi="Times New Roman" w:eastAsia="宋体" w:cs="Times New Roman"/>
                      <w:color w:val="auto"/>
                      <w:sz w:val="18"/>
                      <w:szCs w:val="18"/>
                      <w:highlight w:val="none"/>
                      <w:vertAlign w:val="baseline"/>
                      <w:lang w:val="en-US" w:eastAsia="zh-CN"/>
                    </w:rPr>
                    <w:t>2025.8.23</w:t>
                  </w:r>
                </w:p>
              </w:tc>
              <w:tc>
                <w:tcPr>
                  <w:tcW w:w="568" w:type="pct"/>
                  <w:vMerge w:val="restart"/>
                  <w:tcBorders>
                    <w:tl2br w:val="nil"/>
                    <w:tr2bl w:val="nil"/>
                  </w:tcBorders>
                  <w:vAlign w:val="center"/>
                </w:tcPr>
                <w:p w14:paraId="2B1AD19C">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highlight w:val="none"/>
                      <w:vertAlign w:val="baseline"/>
                    </w:rPr>
                  </w:pPr>
                  <w:r>
                    <w:rPr>
                      <w:rFonts w:hint="default" w:ascii="Times New Roman" w:hAnsi="Times New Roman" w:eastAsia="宋体" w:cs="Times New Roman"/>
                      <w:color w:val="auto"/>
                      <w:sz w:val="18"/>
                      <w:szCs w:val="18"/>
                      <w:highlight w:val="none"/>
                    </w:rPr>
                    <w:t>第一次</w:t>
                  </w:r>
                </w:p>
              </w:tc>
              <w:tc>
                <w:tcPr>
                  <w:tcW w:w="662" w:type="pct"/>
                  <w:tcBorders>
                    <w:tl2br w:val="nil"/>
                    <w:tr2bl w:val="nil"/>
                  </w:tcBorders>
                  <w:vAlign w:val="center"/>
                </w:tcPr>
                <w:p w14:paraId="1C78CFCA">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上风向</w:t>
                  </w:r>
                </w:p>
              </w:tc>
              <w:tc>
                <w:tcPr>
                  <w:tcW w:w="1022" w:type="pct"/>
                  <w:tcBorders>
                    <w:tl2br w:val="nil"/>
                    <w:tr2bl w:val="nil"/>
                  </w:tcBorders>
                  <w:vAlign w:val="center"/>
                </w:tcPr>
                <w:p w14:paraId="275F2906">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0.41</w:t>
                  </w:r>
                </w:p>
              </w:tc>
              <w:tc>
                <w:tcPr>
                  <w:tcW w:w="2085" w:type="dxa"/>
                  <w:tcBorders>
                    <w:tl2br w:val="nil"/>
                    <w:tr2bl w:val="nil"/>
                  </w:tcBorders>
                  <w:vAlign w:val="center"/>
                </w:tcPr>
                <w:p w14:paraId="72ACDD02">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 xml:space="preserve">0.259 </w:t>
                  </w:r>
                </w:p>
              </w:tc>
              <w:tc>
                <w:tcPr>
                  <w:tcW w:w="1072" w:type="pct"/>
                  <w:vMerge w:val="restart"/>
                  <w:tcBorders>
                    <w:tl2br w:val="nil"/>
                    <w:tr2bl w:val="nil"/>
                  </w:tcBorders>
                  <w:vAlign w:val="center"/>
                </w:tcPr>
                <w:p w14:paraId="48C72E23">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阴，平均温度26.5℃，平均气压100.3kpa，西北风，风速1.2~2.0m/s</w:t>
                  </w:r>
                </w:p>
              </w:tc>
            </w:tr>
            <w:tr w14:paraId="503E1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37" w:hRule="exact"/>
              </w:trPr>
              <w:tc>
                <w:tcPr>
                  <w:tcW w:w="674" w:type="pct"/>
                  <w:vMerge w:val="continue"/>
                  <w:tcBorders>
                    <w:tl2br w:val="nil"/>
                    <w:tr2bl w:val="nil"/>
                  </w:tcBorders>
                  <w:vAlign w:val="center"/>
                </w:tcPr>
                <w:p w14:paraId="3B80ABC2">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highlight w:val="none"/>
                      <w:vertAlign w:val="baseline"/>
                    </w:rPr>
                  </w:pPr>
                </w:p>
              </w:tc>
              <w:tc>
                <w:tcPr>
                  <w:tcW w:w="568" w:type="pct"/>
                  <w:vMerge w:val="continue"/>
                  <w:tcBorders>
                    <w:tl2br w:val="nil"/>
                    <w:tr2bl w:val="nil"/>
                  </w:tcBorders>
                  <w:vAlign w:val="center"/>
                </w:tcPr>
                <w:p w14:paraId="022C38E3">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highlight w:val="none"/>
                      <w:vertAlign w:val="baseline"/>
                    </w:rPr>
                  </w:pPr>
                </w:p>
              </w:tc>
              <w:tc>
                <w:tcPr>
                  <w:tcW w:w="662" w:type="pct"/>
                  <w:tcBorders>
                    <w:tl2br w:val="nil"/>
                    <w:tr2bl w:val="nil"/>
                  </w:tcBorders>
                  <w:vAlign w:val="center"/>
                </w:tcPr>
                <w:p w14:paraId="47858FDD">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下风向1#</w:t>
                  </w:r>
                </w:p>
              </w:tc>
              <w:tc>
                <w:tcPr>
                  <w:tcW w:w="1022" w:type="pct"/>
                  <w:tcBorders>
                    <w:tl2br w:val="nil"/>
                    <w:tr2bl w:val="nil"/>
                  </w:tcBorders>
                  <w:vAlign w:val="center"/>
                </w:tcPr>
                <w:p w14:paraId="7B8A8E89">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0.54</w:t>
                  </w:r>
                </w:p>
              </w:tc>
              <w:tc>
                <w:tcPr>
                  <w:tcW w:w="2085" w:type="dxa"/>
                  <w:tcBorders>
                    <w:tl2br w:val="nil"/>
                    <w:tr2bl w:val="nil"/>
                  </w:tcBorders>
                  <w:vAlign w:val="center"/>
                </w:tcPr>
                <w:p w14:paraId="334A2FB3">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 xml:space="preserve">0.323 </w:t>
                  </w:r>
                </w:p>
              </w:tc>
              <w:tc>
                <w:tcPr>
                  <w:tcW w:w="1072" w:type="pct"/>
                  <w:vMerge w:val="continue"/>
                  <w:tcBorders>
                    <w:tl2br w:val="nil"/>
                    <w:tr2bl w:val="nil"/>
                  </w:tcBorders>
                  <w:vAlign w:val="center"/>
                </w:tcPr>
                <w:p w14:paraId="063E25D2">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highlight w:val="none"/>
                      <w:vertAlign w:val="baseline"/>
                    </w:rPr>
                  </w:pPr>
                </w:p>
              </w:tc>
            </w:tr>
            <w:tr w14:paraId="7C88F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37" w:hRule="exact"/>
              </w:trPr>
              <w:tc>
                <w:tcPr>
                  <w:tcW w:w="674" w:type="pct"/>
                  <w:vMerge w:val="continue"/>
                  <w:tcBorders>
                    <w:tl2br w:val="nil"/>
                    <w:tr2bl w:val="nil"/>
                  </w:tcBorders>
                  <w:vAlign w:val="center"/>
                </w:tcPr>
                <w:p w14:paraId="5B60A20C">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highlight w:val="none"/>
                      <w:vertAlign w:val="baseline"/>
                    </w:rPr>
                  </w:pPr>
                </w:p>
              </w:tc>
              <w:tc>
                <w:tcPr>
                  <w:tcW w:w="568" w:type="pct"/>
                  <w:vMerge w:val="continue"/>
                  <w:tcBorders>
                    <w:tl2br w:val="nil"/>
                    <w:tr2bl w:val="nil"/>
                  </w:tcBorders>
                  <w:vAlign w:val="center"/>
                </w:tcPr>
                <w:p w14:paraId="3A4A4033">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highlight w:val="none"/>
                      <w:vertAlign w:val="baseline"/>
                    </w:rPr>
                  </w:pPr>
                </w:p>
              </w:tc>
              <w:tc>
                <w:tcPr>
                  <w:tcW w:w="662" w:type="pct"/>
                  <w:tcBorders>
                    <w:tl2br w:val="nil"/>
                    <w:tr2bl w:val="nil"/>
                  </w:tcBorders>
                  <w:vAlign w:val="center"/>
                </w:tcPr>
                <w:p w14:paraId="4FBA11EF">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下风向2#</w:t>
                  </w:r>
                </w:p>
              </w:tc>
              <w:tc>
                <w:tcPr>
                  <w:tcW w:w="1022" w:type="pct"/>
                  <w:tcBorders>
                    <w:tl2br w:val="nil"/>
                    <w:tr2bl w:val="nil"/>
                  </w:tcBorders>
                  <w:vAlign w:val="center"/>
                </w:tcPr>
                <w:p w14:paraId="048BEC77">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0.53</w:t>
                  </w:r>
                </w:p>
              </w:tc>
              <w:tc>
                <w:tcPr>
                  <w:tcW w:w="2085" w:type="dxa"/>
                  <w:tcBorders>
                    <w:tl2br w:val="nil"/>
                    <w:tr2bl w:val="nil"/>
                  </w:tcBorders>
                  <w:vAlign w:val="center"/>
                </w:tcPr>
                <w:p w14:paraId="7646F1D5">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 xml:space="preserve">0.335 </w:t>
                  </w:r>
                </w:p>
              </w:tc>
              <w:tc>
                <w:tcPr>
                  <w:tcW w:w="1072" w:type="pct"/>
                  <w:vMerge w:val="continue"/>
                  <w:tcBorders>
                    <w:tl2br w:val="nil"/>
                    <w:tr2bl w:val="nil"/>
                  </w:tcBorders>
                  <w:vAlign w:val="center"/>
                </w:tcPr>
                <w:p w14:paraId="078F20A9">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highlight w:val="none"/>
                      <w:vertAlign w:val="baseline"/>
                    </w:rPr>
                  </w:pPr>
                </w:p>
              </w:tc>
            </w:tr>
            <w:tr w14:paraId="6FC0B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37" w:hRule="exact"/>
              </w:trPr>
              <w:tc>
                <w:tcPr>
                  <w:tcW w:w="674" w:type="pct"/>
                  <w:vMerge w:val="continue"/>
                  <w:tcBorders>
                    <w:tl2br w:val="nil"/>
                    <w:tr2bl w:val="nil"/>
                  </w:tcBorders>
                  <w:vAlign w:val="center"/>
                </w:tcPr>
                <w:p w14:paraId="2D323C35">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highlight w:val="none"/>
                      <w:vertAlign w:val="baseline"/>
                    </w:rPr>
                  </w:pPr>
                </w:p>
              </w:tc>
              <w:tc>
                <w:tcPr>
                  <w:tcW w:w="568" w:type="pct"/>
                  <w:vMerge w:val="continue"/>
                  <w:tcBorders>
                    <w:tl2br w:val="nil"/>
                    <w:tr2bl w:val="nil"/>
                  </w:tcBorders>
                  <w:vAlign w:val="center"/>
                </w:tcPr>
                <w:p w14:paraId="34C67F86">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highlight w:val="none"/>
                      <w:vertAlign w:val="baseline"/>
                    </w:rPr>
                  </w:pPr>
                </w:p>
              </w:tc>
              <w:tc>
                <w:tcPr>
                  <w:tcW w:w="662" w:type="pct"/>
                  <w:tcBorders>
                    <w:tl2br w:val="nil"/>
                    <w:tr2bl w:val="nil"/>
                  </w:tcBorders>
                  <w:vAlign w:val="center"/>
                </w:tcPr>
                <w:p w14:paraId="1B889159">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下风向3#</w:t>
                  </w:r>
                </w:p>
              </w:tc>
              <w:tc>
                <w:tcPr>
                  <w:tcW w:w="1022" w:type="pct"/>
                  <w:tcBorders>
                    <w:tl2br w:val="nil"/>
                    <w:tr2bl w:val="nil"/>
                  </w:tcBorders>
                  <w:vAlign w:val="center"/>
                </w:tcPr>
                <w:p w14:paraId="5EBCC763">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0.63</w:t>
                  </w:r>
                </w:p>
              </w:tc>
              <w:tc>
                <w:tcPr>
                  <w:tcW w:w="2085" w:type="dxa"/>
                  <w:tcBorders>
                    <w:tl2br w:val="nil"/>
                    <w:tr2bl w:val="nil"/>
                  </w:tcBorders>
                  <w:vAlign w:val="center"/>
                </w:tcPr>
                <w:p w14:paraId="13C45889">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 xml:space="preserve">0.318 </w:t>
                  </w:r>
                </w:p>
              </w:tc>
              <w:tc>
                <w:tcPr>
                  <w:tcW w:w="1072" w:type="pct"/>
                  <w:vMerge w:val="continue"/>
                  <w:tcBorders>
                    <w:tl2br w:val="nil"/>
                    <w:tr2bl w:val="nil"/>
                  </w:tcBorders>
                  <w:vAlign w:val="center"/>
                </w:tcPr>
                <w:p w14:paraId="0C0E87EE">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highlight w:val="none"/>
                      <w:vertAlign w:val="baseline"/>
                    </w:rPr>
                  </w:pPr>
                </w:p>
              </w:tc>
            </w:tr>
            <w:tr w14:paraId="5F699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37" w:hRule="exact"/>
              </w:trPr>
              <w:tc>
                <w:tcPr>
                  <w:tcW w:w="674" w:type="pct"/>
                  <w:vMerge w:val="continue"/>
                  <w:tcBorders>
                    <w:tl2br w:val="nil"/>
                    <w:tr2bl w:val="nil"/>
                  </w:tcBorders>
                  <w:vAlign w:val="center"/>
                </w:tcPr>
                <w:p w14:paraId="1BBAAA74">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highlight w:val="none"/>
                      <w:vertAlign w:val="baseline"/>
                    </w:rPr>
                  </w:pPr>
                </w:p>
              </w:tc>
              <w:tc>
                <w:tcPr>
                  <w:tcW w:w="568" w:type="pct"/>
                  <w:vMerge w:val="restart"/>
                  <w:tcBorders>
                    <w:tl2br w:val="nil"/>
                    <w:tr2bl w:val="nil"/>
                  </w:tcBorders>
                  <w:vAlign w:val="center"/>
                </w:tcPr>
                <w:p w14:paraId="182D8C11">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highlight w:val="none"/>
                      <w:vertAlign w:val="baseline"/>
                    </w:rPr>
                  </w:pPr>
                  <w:r>
                    <w:rPr>
                      <w:rFonts w:hint="default" w:ascii="Times New Roman" w:hAnsi="Times New Roman" w:eastAsia="宋体" w:cs="Times New Roman"/>
                      <w:color w:val="auto"/>
                      <w:sz w:val="18"/>
                      <w:szCs w:val="18"/>
                      <w:highlight w:val="none"/>
                    </w:rPr>
                    <w:t>第二次</w:t>
                  </w:r>
                </w:p>
              </w:tc>
              <w:tc>
                <w:tcPr>
                  <w:tcW w:w="662" w:type="pct"/>
                  <w:tcBorders>
                    <w:tl2br w:val="nil"/>
                    <w:tr2bl w:val="nil"/>
                  </w:tcBorders>
                  <w:vAlign w:val="center"/>
                </w:tcPr>
                <w:p w14:paraId="5FD42F6E">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上风向</w:t>
                  </w:r>
                </w:p>
              </w:tc>
              <w:tc>
                <w:tcPr>
                  <w:tcW w:w="1022" w:type="pct"/>
                  <w:tcBorders>
                    <w:tl2br w:val="nil"/>
                    <w:tr2bl w:val="nil"/>
                  </w:tcBorders>
                  <w:vAlign w:val="center"/>
                </w:tcPr>
                <w:p w14:paraId="2C74A90B">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0.40</w:t>
                  </w:r>
                </w:p>
              </w:tc>
              <w:tc>
                <w:tcPr>
                  <w:tcW w:w="2085" w:type="dxa"/>
                  <w:tcBorders>
                    <w:tl2br w:val="nil"/>
                    <w:tr2bl w:val="nil"/>
                  </w:tcBorders>
                  <w:vAlign w:val="center"/>
                </w:tcPr>
                <w:p w14:paraId="4839DE55">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 xml:space="preserve">0.247 </w:t>
                  </w:r>
                </w:p>
              </w:tc>
              <w:tc>
                <w:tcPr>
                  <w:tcW w:w="1072" w:type="pct"/>
                  <w:vMerge w:val="continue"/>
                  <w:tcBorders>
                    <w:tl2br w:val="nil"/>
                    <w:tr2bl w:val="nil"/>
                  </w:tcBorders>
                  <w:vAlign w:val="center"/>
                </w:tcPr>
                <w:p w14:paraId="47D922CD">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highlight w:val="none"/>
                      <w:vertAlign w:val="baseline"/>
                    </w:rPr>
                  </w:pPr>
                </w:p>
              </w:tc>
            </w:tr>
            <w:tr w14:paraId="02C2D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37" w:hRule="exact"/>
              </w:trPr>
              <w:tc>
                <w:tcPr>
                  <w:tcW w:w="674" w:type="pct"/>
                  <w:vMerge w:val="continue"/>
                  <w:tcBorders>
                    <w:tl2br w:val="nil"/>
                    <w:tr2bl w:val="nil"/>
                  </w:tcBorders>
                  <w:vAlign w:val="center"/>
                </w:tcPr>
                <w:p w14:paraId="34AB9E22">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highlight w:val="none"/>
                      <w:vertAlign w:val="baseline"/>
                    </w:rPr>
                  </w:pPr>
                </w:p>
              </w:tc>
              <w:tc>
                <w:tcPr>
                  <w:tcW w:w="568" w:type="pct"/>
                  <w:vMerge w:val="continue"/>
                  <w:tcBorders>
                    <w:tl2br w:val="nil"/>
                    <w:tr2bl w:val="nil"/>
                  </w:tcBorders>
                  <w:vAlign w:val="center"/>
                </w:tcPr>
                <w:p w14:paraId="57F08145">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highlight w:val="none"/>
                      <w:vertAlign w:val="baseline"/>
                    </w:rPr>
                  </w:pPr>
                </w:p>
              </w:tc>
              <w:tc>
                <w:tcPr>
                  <w:tcW w:w="662" w:type="pct"/>
                  <w:tcBorders>
                    <w:tl2br w:val="nil"/>
                    <w:tr2bl w:val="nil"/>
                  </w:tcBorders>
                  <w:vAlign w:val="center"/>
                </w:tcPr>
                <w:p w14:paraId="5DD08B00">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下风向1#</w:t>
                  </w:r>
                </w:p>
              </w:tc>
              <w:tc>
                <w:tcPr>
                  <w:tcW w:w="1022" w:type="pct"/>
                  <w:tcBorders>
                    <w:tl2br w:val="nil"/>
                    <w:tr2bl w:val="nil"/>
                  </w:tcBorders>
                  <w:vAlign w:val="center"/>
                </w:tcPr>
                <w:p w14:paraId="7C019CBF">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0.53</w:t>
                  </w:r>
                </w:p>
              </w:tc>
              <w:tc>
                <w:tcPr>
                  <w:tcW w:w="2085" w:type="dxa"/>
                  <w:tcBorders>
                    <w:tl2br w:val="nil"/>
                    <w:tr2bl w:val="nil"/>
                  </w:tcBorders>
                  <w:vAlign w:val="center"/>
                </w:tcPr>
                <w:p w14:paraId="7F779CCD">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 xml:space="preserve">0.309 </w:t>
                  </w:r>
                </w:p>
              </w:tc>
              <w:tc>
                <w:tcPr>
                  <w:tcW w:w="1072" w:type="pct"/>
                  <w:vMerge w:val="continue"/>
                  <w:tcBorders>
                    <w:tl2br w:val="nil"/>
                    <w:tr2bl w:val="nil"/>
                  </w:tcBorders>
                  <w:vAlign w:val="center"/>
                </w:tcPr>
                <w:p w14:paraId="5BE2F910">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highlight w:val="none"/>
                      <w:vertAlign w:val="baseline"/>
                    </w:rPr>
                  </w:pPr>
                </w:p>
              </w:tc>
            </w:tr>
            <w:tr w14:paraId="29BB5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37" w:hRule="exact"/>
              </w:trPr>
              <w:tc>
                <w:tcPr>
                  <w:tcW w:w="674" w:type="pct"/>
                  <w:vMerge w:val="continue"/>
                  <w:tcBorders>
                    <w:tl2br w:val="nil"/>
                    <w:tr2bl w:val="nil"/>
                  </w:tcBorders>
                  <w:vAlign w:val="center"/>
                </w:tcPr>
                <w:p w14:paraId="14D124A3">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highlight w:val="none"/>
                      <w:vertAlign w:val="baseline"/>
                    </w:rPr>
                  </w:pPr>
                </w:p>
              </w:tc>
              <w:tc>
                <w:tcPr>
                  <w:tcW w:w="568" w:type="pct"/>
                  <w:vMerge w:val="continue"/>
                  <w:tcBorders>
                    <w:tl2br w:val="nil"/>
                    <w:tr2bl w:val="nil"/>
                  </w:tcBorders>
                  <w:vAlign w:val="center"/>
                </w:tcPr>
                <w:p w14:paraId="53A5FCC2">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highlight w:val="none"/>
                      <w:vertAlign w:val="baseline"/>
                    </w:rPr>
                  </w:pPr>
                </w:p>
              </w:tc>
              <w:tc>
                <w:tcPr>
                  <w:tcW w:w="662" w:type="pct"/>
                  <w:tcBorders>
                    <w:tl2br w:val="nil"/>
                    <w:tr2bl w:val="nil"/>
                  </w:tcBorders>
                  <w:vAlign w:val="center"/>
                </w:tcPr>
                <w:p w14:paraId="669C3FC8">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下风向2#</w:t>
                  </w:r>
                </w:p>
              </w:tc>
              <w:tc>
                <w:tcPr>
                  <w:tcW w:w="1022" w:type="pct"/>
                  <w:tcBorders>
                    <w:tl2br w:val="nil"/>
                    <w:tr2bl w:val="nil"/>
                  </w:tcBorders>
                  <w:vAlign w:val="center"/>
                </w:tcPr>
                <w:p w14:paraId="70A876A2">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0.53</w:t>
                  </w:r>
                </w:p>
              </w:tc>
              <w:tc>
                <w:tcPr>
                  <w:tcW w:w="2085" w:type="dxa"/>
                  <w:tcBorders>
                    <w:tl2br w:val="nil"/>
                    <w:tr2bl w:val="nil"/>
                  </w:tcBorders>
                  <w:vAlign w:val="center"/>
                </w:tcPr>
                <w:p w14:paraId="57AC0EF1">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 xml:space="preserve">0.334 </w:t>
                  </w:r>
                </w:p>
              </w:tc>
              <w:tc>
                <w:tcPr>
                  <w:tcW w:w="1072" w:type="pct"/>
                  <w:vMerge w:val="continue"/>
                  <w:tcBorders>
                    <w:tl2br w:val="nil"/>
                    <w:tr2bl w:val="nil"/>
                  </w:tcBorders>
                  <w:vAlign w:val="center"/>
                </w:tcPr>
                <w:p w14:paraId="75201607">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highlight w:val="none"/>
                      <w:vertAlign w:val="baseline"/>
                    </w:rPr>
                  </w:pPr>
                </w:p>
              </w:tc>
            </w:tr>
            <w:tr w14:paraId="7DEA9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37" w:hRule="exact"/>
              </w:trPr>
              <w:tc>
                <w:tcPr>
                  <w:tcW w:w="674" w:type="pct"/>
                  <w:vMerge w:val="continue"/>
                  <w:tcBorders>
                    <w:tl2br w:val="nil"/>
                    <w:tr2bl w:val="nil"/>
                  </w:tcBorders>
                  <w:vAlign w:val="center"/>
                </w:tcPr>
                <w:p w14:paraId="100CA371">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highlight w:val="none"/>
                      <w:vertAlign w:val="baseline"/>
                    </w:rPr>
                  </w:pPr>
                </w:p>
              </w:tc>
              <w:tc>
                <w:tcPr>
                  <w:tcW w:w="568" w:type="pct"/>
                  <w:vMerge w:val="continue"/>
                  <w:tcBorders>
                    <w:tl2br w:val="nil"/>
                    <w:tr2bl w:val="nil"/>
                  </w:tcBorders>
                  <w:vAlign w:val="center"/>
                </w:tcPr>
                <w:p w14:paraId="6854E752">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highlight w:val="none"/>
                      <w:vertAlign w:val="baseline"/>
                    </w:rPr>
                  </w:pPr>
                </w:p>
              </w:tc>
              <w:tc>
                <w:tcPr>
                  <w:tcW w:w="662" w:type="pct"/>
                  <w:tcBorders>
                    <w:tl2br w:val="nil"/>
                    <w:tr2bl w:val="nil"/>
                  </w:tcBorders>
                  <w:vAlign w:val="center"/>
                </w:tcPr>
                <w:p w14:paraId="10A96771">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下风向3#</w:t>
                  </w:r>
                </w:p>
              </w:tc>
              <w:tc>
                <w:tcPr>
                  <w:tcW w:w="1022" w:type="pct"/>
                  <w:tcBorders>
                    <w:tl2br w:val="nil"/>
                    <w:tr2bl w:val="nil"/>
                  </w:tcBorders>
                  <w:vAlign w:val="center"/>
                </w:tcPr>
                <w:p w14:paraId="2EE59243">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0.62</w:t>
                  </w:r>
                </w:p>
              </w:tc>
              <w:tc>
                <w:tcPr>
                  <w:tcW w:w="2085" w:type="dxa"/>
                  <w:tcBorders>
                    <w:tl2br w:val="nil"/>
                    <w:tr2bl w:val="nil"/>
                  </w:tcBorders>
                  <w:vAlign w:val="center"/>
                </w:tcPr>
                <w:p w14:paraId="6DBA0A60">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 xml:space="preserve">0.316 </w:t>
                  </w:r>
                </w:p>
              </w:tc>
              <w:tc>
                <w:tcPr>
                  <w:tcW w:w="1072" w:type="pct"/>
                  <w:vMerge w:val="continue"/>
                  <w:tcBorders>
                    <w:tl2br w:val="nil"/>
                    <w:tr2bl w:val="nil"/>
                  </w:tcBorders>
                  <w:vAlign w:val="center"/>
                </w:tcPr>
                <w:p w14:paraId="16B35C4F">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highlight w:val="none"/>
                      <w:vertAlign w:val="baseline"/>
                    </w:rPr>
                  </w:pPr>
                </w:p>
              </w:tc>
            </w:tr>
            <w:tr w14:paraId="171C1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37" w:hRule="exact"/>
              </w:trPr>
              <w:tc>
                <w:tcPr>
                  <w:tcW w:w="674" w:type="pct"/>
                  <w:vMerge w:val="continue"/>
                  <w:tcBorders>
                    <w:tl2br w:val="nil"/>
                    <w:tr2bl w:val="nil"/>
                  </w:tcBorders>
                  <w:vAlign w:val="center"/>
                </w:tcPr>
                <w:p w14:paraId="5777C7F2">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highlight w:val="none"/>
                      <w:vertAlign w:val="baseline"/>
                    </w:rPr>
                  </w:pPr>
                </w:p>
              </w:tc>
              <w:tc>
                <w:tcPr>
                  <w:tcW w:w="568" w:type="pct"/>
                  <w:vMerge w:val="restart"/>
                  <w:tcBorders>
                    <w:tl2br w:val="nil"/>
                    <w:tr2bl w:val="nil"/>
                  </w:tcBorders>
                  <w:vAlign w:val="center"/>
                </w:tcPr>
                <w:p w14:paraId="0E70A77B">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highlight w:val="none"/>
                      <w:vertAlign w:val="baseline"/>
                    </w:rPr>
                  </w:pPr>
                  <w:r>
                    <w:rPr>
                      <w:rFonts w:hint="default" w:ascii="Times New Roman" w:hAnsi="Times New Roman" w:eastAsia="宋体" w:cs="Times New Roman"/>
                      <w:color w:val="auto"/>
                      <w:sz w:val="18"/>
                      <w:szCs w:val="18"/>
                      <w:highlight w:val="none"/>
                    </w:rPr>
                    <w:t>第三次</w:t>
                  </w:r>
                </w:p>
              </w:tc>
              <w:tc>
                <w:tcPr>
                  <w:tcW w:w="662" w:type="pct"/>
                  <w:tcBorders>
                    <w:tl2br w:val="nil"/>
                    <w:tr2bl w:val="nil"/>
                  </w:tcBorders>
                  <w:vAlign w:val="center"/>
                </w:tcPr>
                <w:p w14:paraId="76680C6A">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上风向</w:t>
                  </w:r>
                </w:p>
              </w:tc>
              <w:tc>
                <w:tcPr>
                  <w:tcW w:w="1022" w:type="pct"/>
                  <w:tcBorders>
                    <w:tl2br w:val="nil"/>
                    <w:tr2bl w:val="nil"/>
                  </w:tcBorders>
                  <w:vAlign w:val="center"/>
                </w:tcPr>
                <w:p w14:paraId="418B49D2">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0.43</w:t>
                  </w:r>
                </w:p>
              </w:tc>
              <w:tc>
                <w:tcPr>
                  <w:tcW w:w="2085" w:type="dxa"/>
                  <w:tcBorders>
                    <w:tl2br w:val="nil"/>
                    <w:tr2bl w:val="nil"/>
                  </w:tcBorders>
                  <w:vAlign w:val="center"/>
                </w:tcPr>
                <w:p w14:paraId="60DE9D9A">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 xml:space="preserve">0.260 </w:t>
                  </w:r>
                </w:p>
              </w:tc>
              <w:tc>
                <w:tcPr>
                  <w:tcW w:w="1072" w:type="pct"/>
                  <w:vMerge w:val="continue"/>
                  <w:tcBorders>
                    <w:tl2br w:val="nil"/>
                    <w:tr2bl w:val="nil"/>
                  </w:tcBorders>
                  <w:vAlign w:val="center"/>
                </w:tcPr>
                <w:p w14:paraId="3B3EF4A6">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highlight w:val="none"/>
                      <w:vertAlign w:val="baseline"/>
                    </w:rPr>
                  </w:pPr>
                </w:p>
              </w:tc>
            </w:tr>
            <w:tr w14:paraId="2E600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37" w:hRule="exact"/>
              </w:trPr>
              <w:tc>
                <w:tcPr>
                  <w:tcW w:w="674" w:type="pct"/>
                  <w:vMerge w:val="continue"/>
                  <w:tcBorders>
                    <w:tl2br w:val="nil"/>
                    <w:tr2bl w:val="nil"/>
                  </w:tcBorders>
                  <w:vAlign w:val="center"/>
                </w:tcPr>
                <w:p w14:paraId="72CFD0B8">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highlight w:val="none"/>
                      <w:vertAlign w:val="baseline"/>
                    </w:rPr>
                  </w:pPr>
                </w:p>
              </w:tc>
              <w:tc>
                <w:tcPr>
                  <w:tcW w:w="568" w:type="pct"/>
                  <w:vMerge w:val="continue"/>
                  <w:tcBorders>
                    <w:tl2br w:val="nil"/>
                    <w:tr2bl w:val="nil"/>
                  </w:tcBorders>
                  <w:vAlign w:val="center"/>
                </w:tcPr>
                <w:p w14:paraId="0A176628">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highlight w:val="none"/>
                      <w:vertAlign w:val="baseline"/>
                    </w:rPr>
                  </w:pPr>
                </w:p>
              </w:tc>
              <w:tc>
                <w:tcPr>
                  <w:tcW w:w="662" w:type="pct"/>
                  <w:tcBorders>
                    <w:tl2br w:val="nil"/>
                    <w:tr2bl w:val="nil"/>
                  </w:tcBorders>
                  <w:vAlign w:val="center"/>
                </w:tcPr>
                <w:p w14:paraId="3A2107EC">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下风向1#</w:t>
                  </w:r>
                </w:p>
              </w:tc>
              <w:tc>
                <w:tcPr>
                  <w:tcW w:w="1022" w:type="pct"/>
                  <w:tcBorders>
                    <w:tl2br w:val="nil"/>
                    <w:tr2bl w:val="nil"/>
                  </w:tcBorders>
                  <w:vAlign w:val="center"/>
                </w:tcPr>
                <w:p w14:paraId="5EB007A6">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0.59</w:t>
                  </w:r>
                </w:p>
              </w:tc>
              <w:tc>
                <w:tcPr>
                  <w:tcW w:w="2085" w:type="dxa"/>
                  <w:tcBorders>
                    <w:tl2br w:val="nil"/>
                    <w:tr2bl w:val="nil"/>
                  </w:tcBorders>
                  <w:vAlign w:val="center"/>
                </w:tcPr>
                <w:p w14:paraId="266C544B">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 xml:space="preserve">0.317 </w:t>
                  </w:r>
                </w:p>
              </w:tc>
              <w:tc>
                <w:tcPr>
                  <w:tcW w:w="1072" w:type="pct"/>
                  <w:vMerge w:val="continue"/>
                  <w:tcBorders>
                    <w:tl2br w:val="nil"/>
                    <w:tr2bl w:val="nil"/>
                  </w:tcBorders>
                  <w:vAlign w:val="center"/>
                </w:tcPr>
                <w:p w14:paraId="2912C0C0">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highlight w:val="none"/>
                      <w:vertAlign w:val="baseline"/>
                    </w:rPr>
                  </w:pPr>
                </w:p>
              </w:tc>
            </w:tr>
            <w:tr w14:paraId="38A09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37" w:hRule="exact"/>
              </w:trPr>
              <w:tc>
                <w:tcPr>
                  <w:tcW w:w="674" w:type="pct"/>
                  <w:vMerge w:val="continue"/>
                  <w:tcBorders>
                    <w:tl2br w:val="nil"/>
                    <w:tr2bl w:val="nil"/>
                  </w:tcBorders>
                  <w:vAlign w:val="center"/>
                </w:tcPr>
                <w:p w14:paraId="576BA151">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highlight w:val="none"/>
                      <w:vertAlign w:val="baseline"/>
                    </w:rPr>
                  </w:pPr>
                </w:p>
              </w:tc>
              <w:tc>
                <w:tcPr>
                  <w:tcW w:w="568" w:type="pct"/>
                  <w:vMerge w:val="continue"/>
                  <w:tcBorders>
                    <w:tl2br w:val="nil"/>
                    <w:tr2bl w:val="nil"/>
                  </w:tcBorders>
                  <w:vAlign w:val="center"/>
                </w:tcPr>
                <w:p w14:paraId="59F5AD39">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highlight w:val="none"/>
                      <w:vertAlign w:val="baseline"/>
                    </w:rPr>
                  </w:pPr>
                </w:p>
              </w:tc>
              <w:tc>
                <w:tcPr>
                  <w:tcW w:w="662" w:type="pct"/>
                  <w:tcBorders>
                    <w:tl2br w:val="nil"/>
                    <w:tr2bl w:val="nil"/>
                  </w:tcBorders>
                  <w:vAlign w:val="center"/>
                </w:tcPr>
                <w:p w14:paraId="130F95EB">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下风向2#</w:t>
                  </w:r>
                </w:p>
              </w:tc>
              <w:tc>
                <w:tcPr>
                  <w:tcW w:w="1022" w:type="pct"/>
                  <w:tcBorders>
                    <w:tl2br w:val="nil"/>
                    <w:tr2bl w:val="nil"/>
                  </w:tcBorders>
                  <w:vAlign w:val="center"/>
                </w:tcPr>
                <w:p w14:paraId="65AC0A4D">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0.55</w:t>
                  </w:r>
                </w:p>
              </w:tc>
              <w:tc>
                <w:tcPr>
                  <w:tcW w:w="2085" w:type="dxa"/>
                  <w:tcBorders>
                    <w:tl2br w:val="nil"/>
                    <w:tr2bl w:val="nil"/>
                  </w:tcBorders>
                  <w:vAlign w:val="center"/>
                </w:tcPr>
                <w:p w14:paraId="091F4478">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 xml:space="preserve">0.332 </w:t>
                  </w:r>
                </w:p>
              </w:tc>
              <w:tc>
                <w:tcPr>
                  <w:tcW w:w="1072" w:type="pct"/>
                  <w:vMerge w:val="continue"/>
                  <w:tcBorders>
                    <w:tl2br w:val="nil"/>
                    <w:tr2bl w:val="nil"/>
                  </w:tcBorders>
                  <w:vAlign w:val="center"/>
                </w:tcPr>
                <w:p w14:paraId="076CF36F">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highlight w:val="none"/>
                      <w:vertAlign w:val="baseline"/>
                    </w:rPr>
                  </w:pPr>
                </w:p>
              </w:tc>
            </w:tr>
            <w:tr w14:paraId="29966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37" w:hRule="exact"/>
              </w:trPr>
              <w:tc>
                <w:tcPr>
                  <w:tcW w:w="674" w:type="pct"/>
                  <w:vMerge w:val="continue"/>
                  <w:tcBorders>
                    <w:tl2br w:val="nil"/>
                    <w:tr2bl w:val="nil"/>
                  </w:tcBorders>
                  <w:vAlign w:val="center"/>
                </w:tcPr>
                <w:p w14:paraId="38BE590A">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highlight w:val="none"/>
                      <w:vertAlign w:val="baseline"/>
                    </w:rPr>
                  </w:pPr>
                </w:p>
              </w:tc>
              <w:tc>
                <w:tcPr>
                  <w:tcW w:w="568" w:type="pct"/>
                  <w:vMerge w:val="continue"/>
                  <w:tcBorders>
                    <w:tl2br w:val="nil"/>
                    <w:tr2bl w:val="nil"/>
                  </w:tcBorders>
                  <w:vAlign w:val="center"/>
                </w:tcPr>
                <w:p w14:paraId="07C4949A">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highlight w:val="none"/>
                      <w:vertAlign w:val="baseline"/>
                    </w:rPr>
                  </w:pPr>
                </w:p>
              </w:tc>
              <w:tc>
                <w:tcPr>
                  <w:tcW w:w="662" w:type="pct"/>
                  <w:tcBorders>
                    <w:tl2br w:val="nil"/>
                    <w:tr2bl w:val="nil"/>
                  </w:tcBorders>
                  <w:vAlign w:val="center"/>
                </w:tcPr>
                <w:p w14:paraId="734BF093">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sz w:val="18"/>
                      <w:szCs w:val="18"/>
                      <w:highlight w:val="none"/>
                      <w:lang w:val="en-US" w:eastAsia="zh-CN"/>
                    </w:rPr>
                  </w:pPr>
                  <w:r>
                    <w:rPr>
                      <w:rFonts w:hint="default" w:ascii="Times New Roman" w:hAnsi="Times New Roman" w:eastAsia="宋体" w:cs="Times New Roman"/>
                      <w:sz w:val="18"/>
                      <w:szCs w:val="18"/>
                      <w:highlight w:val="none"/>
                      <w:lang w:val="en-US" w:eastAsia="zh-CN"/>
                    </w:rPr>
                    <w:t>下风向3#</w:t>
                  </w:r>
                </w:p>
              </w:tc>
              <w:tc>
                <w:tcPr>
                  <w:tcW w:w="1022" w:type="pct"/>
                  <w:tcBorders>
                    <w:tl2br w:val="nil"/>
                    <w:tr2bl w:val="nil"/>
                  </w:tcBorders>
                  <w:vAlign w:val="center"/>
                </w:tcPr>
                <w:p w14:paraId="14180AB2">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0.66</w:t>
                  </w:r>
                </w:p>
              </w:tc>
              <w:tc>
                <w:tcPr>
                  <w:tcW w:w="2085" w:type="dxa"/>
                  <w:tcBorders>
                    <w:tl2br w:val="nil"/>
                    <w:tr2bl w:val="nil"/>
                  </w:tcBorders>
                  <w:vAlign w:val="center"/>
                </w:tcPr>
                <w:p w14:paraId="04E35664">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0.325</w:t>
                  </w:r>
                </w:p>
              </w:tc>
              <w:tc>
                <w:tcPr>
                  <w:tcW w:w="1072" w:type="pct"/>
                  <w:vMerge w:val="continue"/>
                  <w:tcBorders>
                    <w:tl2br w:val="nil"/>
                    <w:tr2bl w:val="nil"/>
                  </w:tcBorders>
                  <w:vAlign w:val="center"/>
                </w:tcPr>
                <w:p w14:paraId="2A3287B8">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highlight w:val="none"/>
                      <w:vertAlign w:val="baseline"/>
                    </w:rPr>
                  </w:pPr>
                </w:p>
              </w:tc>
            </w:tr>
          </w:tbl>
          <w:p w14:paraId="0910E57C">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ind w:left="0" w:leftChars="0"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由上表可知，无组织废气中非甲烷总</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烃排放浓度在0.40-0.66</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vertAlign w:val="baseline"/>
                <w:lang w:eastAsia="zh-CN"/>
              </w:rPr>
              <w:t>之间，</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满足《关于全省开展工业企业挥发性有机物专项治理工作中排放建议值的通知》（豫环攻坚办〔2017〕162号）排放标准（2.0mg/m</w:t>
            </w:r>
            <w:r>
              <w:rPr>
                <w:rFonts w:hint="default" w:ascii="Times New Roman" w:hAnsi="Times New Roman" w:eastAsia="宋体" w:cs="Times New Roman"/>
                <w:color w:val="000000" w:themeColor="text1"/>
                <w:kern w:val="2"/>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w:t>
            </w:r>
            <w:r>
              <w:rPr>
                <w:rFonts w:hint="default" w:ascii="Times New Roman" w:hAnsi="Times New Roman" w:eastAsia="宋体" w:cs="Times New Roman"/>
                <w:sz w:val="24"/>
                <w:szCs w:val="24"/>
                <w:vertAlign w:val="baseline"/>
                <w:lang w:eastAsia="zh-CN"/>
              </w:rPr>
              <w:t>颗粒物</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排放浓度在0.246-0.336</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vertAlign w:val="baseline"/>
                <w:lang w:eastAsia="zh-CN"/>
              </w:rPr>
              <w:t>之间，满足</w:t>
            </w:r>
            <w:r>
              <w:rPr>
                <w:rFonts w:hint="default" w:ascii="Times New Roman" w:hAnsi="Times New Roman" w:cs="Times New Roman" w:eastAsiaTheme="minorEastAsia"/>
                <w:color w:val="auto"/>
                <w:sz w:val="24"/>
                <w:szCs w:val="24"/>
              </w:rPr>
              <w:t>《工业炉窑大气污染物排放标准》</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DB411066-2020</w:t>
            </w:r>
            <w:r>
              <w:rPr>
                <w:rFonts w:hint="default" w:ascii="Times New Roman" w:hAnsi="Times New Roman" w:cs="Times New Roman" w:eastAsiaTheme="minorEastAsia"/>
                <w:color w:val="auto"/>
                <w:sz w:val="24"/>
                <w:szCs w:val="24"/>
                <w:lang w:eastAsia="zh-CN"/>
              </w:rPr>
              <w:t>）（</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无</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组织：1</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0mg/m</w:t>
            </w:r>
            <w:r>
              <w:rPr>
                <w:rFonts w:hint="default" w:ascii="Times New Roman" w:hAnsi="Times New Roman" w:cs="Times New Roman" w:eastAsiaTheme="minorEastAsia"/>
                <w:b w:val="0"/>
                <w:bCs w:val="0"/>
                <w:color w:val="000000" w:themeColor="text1"/>
                <w:kern w:val="2"/>
                <w:sz w:val="24"/>
                <w:szCs w:val="24"/>
                <w:vertAlign w:val="superscript"/>
                <w:lang w:val="en-US" w:eastAsia="zh-CN" w:bidi="ar-SA"/>
                <w14:textFill>
                  <w14:solidFill>
                    <w14:schemeClr w14:val="tx1"/>
                  </w14:solidFill>
                </w14:textFill>
              </w:rPr>
              <w:t>3</w:t>
            </w:r>
            <w:r>
              <w:rPr>
                <w:rFonts w:hint="default" w:ascii="Times New Roman" w:hAnsi="Times New Roman" w:cs="Times New Roman" w:eastAsiaTheme="minorEastAsia"/>
                <w:color w:val="auto"/>
                <w:sz w:val="24"/>
                <w:szCs w:val="24"/>
                <w:lang w:eastAsia="zh-CN"/>
              </w:rPr>
              <w:t>）</w:t>
            </w:r>
            <w:r>
              <w:rPr>
                <w:rFonts w:hint="eastAsia" w:ascii="Times New Roman" w:hAnsi="Times New Roman" w:cs="Times New Roman" w:eastAsiaTheme="minorEastAsia"/>
                <w:color w:val="auto"/>
                <w:sz w:val="24"/>
                <w:szCs w:val="24"/>
                <w:lang w:eastAsia="zh-CN"/>
              </w:rPr>
              <w:t>、</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《新乡市生态环境局关于进一步规范工业企业颗粒物排放限值的通知》要求（颗粒物：0.5mg/m</w:t>
            </w:r>
            <w:r>
              <w:rPr>
                <w:rFonts w:hint="default" w:ascii="Times New Roman" w:hAnsi="Times New Roman" w:eastAsia="宋体" w:cs="Times New Roman"/>
                <w:color w:val="000000" w:themeColor="text1"/>
                <w:kern w:val="2"/>
                <w:sz w:val="24"/>
                <w:szCs w:val="24"/>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w:t>
            </w:r>
          </w:p>
          <w:p w14:paraId="556F9D0B">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firstLine="482" w:firstLineChars="200"/>
              <w:textAlignment w:val="auto"/>
              <w:outlineLvl w:val="9"/>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2、废水检测</w:t>
            </w:r>
          </w:p>
          <w:p w14:paraId="0097F128">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both"/>
              <w:textAlignment w:val="auto"/>
              <w:outlineLvl w:val="9"/>
              <w:rPr>
                <w:rFonts w:hint="default" w:ascii="Times New Roman" w:hAnsi="Times New Roman" w:eastAsia="宋体" w:cs="Times New Roman"/>
                <w:color w:val="FF0000"/>
                <w:kern w:val="2"/>
                <w:sz w:val="24"/>
                <w:szCs w:val="24"/>
                <w:lang w:val="en-US" w:eastAsia="zh-CN"/>
              </w:rPr>
            </w:pP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本项目废水检测结果见表18。</w:t>
            </w:r>
          </w:p>
          <w:p w14:paraId="2C289CC0">
            <w:pPr>
              <w:keepNext w:val="0"/>
              <w:keepLines w:val="0"/>
              <w:pageBreakBefore w:val="0"/>
              <w:widowControl/>
              <w:kinsoku/>
              <w:wordWrap/>
              <w:overflowPunct/>
              <w:topLinePunct w:val="0"/>
              <w:autoSpaceDE/>
              <w:autoSpaceDN/>
              <w:bidi w:val="0"/>
              <w:adjustRightInd/>
              <w:snapToGrid/>
              <w:spacing w:after="0" w:line="520" w:lineRule="exact"/>
              <w:jc w:val="center"/>
              <w:textAlignment w:val="auto"/>
              <w:outlineLvl w:val="9"/>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表18  废水总排放口废水监测结果一览表</w:t>
            </w:r>
          </w:p>
          <w:tbl>
            <w:tblPr>
              <w:tblStyle w:val="18"/>
              <w:tblW w:w="91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8"/>
              <w:gridCol w:w="1095"/>
              <w:gridCol w:w="1127"/>
              <w:gridCol w:w="1127"/>
              <w:gridCol w:w="1127"/>
              <w:gridCol w:w="1127"/>
              <w:gridCol w:w="1127"/>
              <w:gridCol w:w="1141"/>
            </w:tblGrid>
            <w:tr w14:paraId="7519D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8" w:type="dxa"/>
                  <w:vMerge w:val="restart"/>
                  <w:noWrap w:val="0"/>
                  <w:vAlign w:val="center"/>
                </w:tcPr>
                <w:p w14:paraId="0C93EDE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采样时间及点位</w:t>
                  </w:r>
                </w:p>
              </w:tc>
              <w:tc>
                <w:tcPr>
                  <w:tcW w:w="1095" w:type="dxa"/>
                  <w:vMerge w:val="restart"/>
                  <w:noWrap w:val="0"/>
                  <w:vAlign w:val="center"/>
                </w:tcPr>
                <w:p w14:paraId="1FF334E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检测频次</w:t>
                  </w:r>
                </w:p>
              </w:tc>
              <w:tc>
                <w:tcPr>
                  <w:tcW w:w="6776" w:type="dxa"/>
                  <w:gridSpan w:val="6"/>
                  <w:noWrap w:val="0"/>
                  <w:vAlign w:val="center"/>
                </w:tcPr>
                <w:p w14:paraId="28BDDA0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检测项目及结果</w:t>
                  </w:r>
                </w:p>
              </w:tc>
            </w:tr>
            <w:tr w14:paraId="4AD7C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8" w:type="dxa"/>
                  <w:vMerge w:val="continue"/>
                  <w:noWrap w:val="0"/>
                  <w:vAlign w:val="center"/>
                </w:tcPr>
                <w:p w14:paraId="4BB32A6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sz w:val="21"/>
                      <w:szCs w:val="21"/>
                      <w:vertAlign w:val="baseline"/>
                      <w:lang w:val="en-US" w:eastAsia="zh-CN"/>
                    </w:rPr>
                  </w:pPr>
                </w:p>
              </w:tc>
              <w:tc>
                <w:tcPr>
                  <w:tcW w:w="1095" w:type="dxa"/>
                  <w:vMerge w:val="continue"/>
                  <w:noWrap w:val="0"/>
                  <w:vAlign w:val="center"/>
                </w:tcPr>
                <w:p w14:paraId="59751F7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sz w:val="21"/>
                      <w:szCs w:val="21"/>
                      <w:vertAlign w:val="baseline"/>
                      <w:lang w:val="en-US" w:eastAsia="zh-CN"/>
                    </w:rPr>
                  </w:pPr>
                </w:p>
              </w:tc>
              <w:tc>
                <w:tcPr>
                  <w:tcW w:w="1127" w:type="dxa"/>
                  <w:noWrap w:val="0"/>
                  <w:vAlign w:val="center"/>
                </w:tcPr>
                <w:p w14:paraId="27F8053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化学需氧量（mg/L）</w:t>
                  </w:r>
                </w:p>
              </w:tc>
              <w:tc>
                <w:tcPr>
                  <w:tcW w:w="1127" w:type="dxa"/>
                  <w:noWrap w:val="0"/>
                  <w:vAlign w:val="center"/>
                </w:tcPr>
                <w:p w14:paraId="0E13DC1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五日生化需氧量（mg/L）</w:t>
                  </w:r>
                </w:p>
              </w:tc>
              <w:tc>
                <w:tcPr>
                  <w:tcW w:w="1127" w:type="dxa"/>
                  <w:noWrap w:val="0"/>
                  <w:vAlign w:val="center"/>
                </w:tcPr>
                <w:p w14:paraId="46D2CFB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氨氮</w:t>
                  </w:r>
                </w:p>
                <w:p w14:paraId="3B1C876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（mg/L）</w:t>
                  </w:r>
                </w:p>
              </w:tc>
              <w:tc>
                <w:tcPr>
                  <w:tcW w:w="1127" w:type="dxa"/>
                  <w:noWrap w:val="0"/>
                  <w:vAlign w:val="center"/>
                </w:tcPr>
                <w:p w14:paraId="01B8EE7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悬浮物（mg/L）</w:t>
                  </w:r>
                </w:p>
              </w:tc>
              <w:tc>
                <w:tcPr>
                  <w:tcW w:w="1127" w:type="dxa"/>
                  <w:noWrap w:val="0"/>
                  <w:vAlign w:val="center"/>
                </w:tcPr>
                <w:p w14:paraId="362AACB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总磷（mg/L）</w:t>
                  </w:r>
                </w:p>
              </w:tc>
              <w:tc>
                <w:tcPr>
                  <w:tcW w:w="1141" w:type="dxa"/>
                  <w:noWrap w:val="0"/>
                  <w:vAlign w:val="center"/>
                </w:tcPr>
                <w:p w14:paraId="7B31959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总氮（mg/L）</w:t>
                  </w:r>
                </w:p>
              </w:tc>
            </w:tr>
            <w:tr w14:paraId="220D9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8" w:type="dxa"/>
                  <w:vMerge w:val="restart"/>
                  <w:noWrap w:val="0"/>
                  <w:vAlign w:val="center"/>
                </w:tcPr>
                <w:p w14:paraId="611AE20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2025.08.22</w:t>
                  </w:r>
                </w:p>
                <w:p w14:paraId="7000F20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废水排放口</w:t>
                  </w:r>
                </w:p>
              </w:tc>
              <w:tc>
                <w:tcPr>
                  <w:tcW w:w="1095" w:type="dxa"/>
                  <w:noWrap w:val="0"/>
                  <w:vAlign w:val="center"/>
                </w:tcPr>
                <w:p w14:paraId="110B39F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第一次</w:t>
                  </w:r>
                </w:p>
              </w:tc>
              <w:tc>
                <w:tcPr>
                  <w:tcW w:w="1127" w:type="dxa"/>
                  <w:noWrap w:val="0"/>
                  <w:vAlign w:val="center"/>
                </w:tcPr>
                <w:p w14:paraId="393223EB">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137</w:t>
                  </w:r>
                </w:p>
              </w:tc>
              <w:tc>
                <w:tcPr>
                  <w:tcW w:w="1127" w:type="dxa"/>
                  <w:noWrap w:val="0"/>
                  <w:vAlign w:val="center"/>
                </w:tcPr>
                <w:p w14:paraId="67F58AFB">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45.2</w:t>
                  </w:r>
                </w:p>
              </w:tc>
              <w:tc>
                <w:tcPr>
                  <w:tcW w:w="1127" w:type="dxa"/>
                  <w:noWrap w:val="0"/>
                  <w:vAlign w:val="center"/>
                </w:tcPr>
                <w:p w14:paraId="4ABEBCAD">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45.2</w:t>
                  </w:r>
                </w:p>
              </w:tc>
              <w:tc>
                <w:tcPr>
                  <w:tcW w:w="1127" w:type="dxa"/>
                  <w:noWrap w:val="0"/>
                  <w:vAlign w:val="center"/>
                </w:tcPr>
                <w:p w14:paraId="3A0F40E7">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74</w:t>
                  </w:r>
                </w:p>
              </w:tc>
              <w:tc>
                <w:tcPr>
                  <w:tcW w:w="1127" w:type="dxa"/>
                  <w:noWrap w:val="0"/>
                  <w:vAlign w:val="center"/>
                </w:tcPr>
                <w:p w14:paraId="63186ED1">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1.07</w:t>
                  </w:r>
                </w:p>
              </w:tc>
              <w:tc>
                <w:tcPr>
                  <w:tcW w:w="1141" w:type="dxa"/>
                  <w:noWrap w:val="0"/>
                  <w:vAlign w:val="center"/>
                </w:tcPr>
                <w:p w14:paraId="78268CC5">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29.2</w:t>
                  </w:r>
                </w:p>
              </w:tc>
            </w:tr>
            <w:tr w14:paraId="02680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8" w:type="dxa"/>
                  <w:vMerge w:val="continue"/>
                  <w:noWrap w:val="0"/>
                  <w:vAlign w:val="center"/>
                </w:tcPr>
                <w:p w14:paraId="6471B569">
                  <w:pPr>
                    <w:pStyle w:val="15"/>
                    <w:keepNext w:val="0"/>
                    <w:keepLines w:val="0"/>
                    <w:pageBreakBefore w:val="0"/>
                    <w:kinsoku/>
                    <w:wordWrap/>
                    <w:overflowPunct/>
                    <w:topLinePunct w:val="0"/>
                    <w:autoSpaceDE/>
                    <w:autoSpaceDN/>
                    <w:bidi w:val="0"/>
                    <w:spacing w:after="0"/>
                    <w:textAlignment w:val="auto"/>
                    <w:rPr>
                      <w:rFonts w:hint="default" w:ascii="Times New Roman" w:hAnsi="Times New Roman" w:eastAsia="宋体" w:cs="Times New Roman"/>
                      <w:b w:val="0"/>
                      <w:bCs w:val="0"/>
                      <w:sz w:val="21"/>
                      <w:szCs w:val="21"/>
                      <w:vertAlign w:val="baseline"/>
                      <w:lang w:val="en-US" w:eastAsia="zh-CN" w:bidi="ar-SA"/>
                    </w:rPr>
                  </w:pPr>
                </w:p>
              </w:tc>
              <w:tc>
                <w:tcPr>
                  <w:tcW w:w="1095" w:type="dxa"/>
                  <w:noWrap w:val="0"/>
                  <w:vAlign w:val="center"/>
                </w:tcPr>
                <w:p w14:paraId="1CD85FB0">
                  <w:pPr>
                    <w:pStyle w:val="15"/>
                    <w:keepNext w:val="0"/>
                    <w:keepLines w:val="0"/>
                    <w:pageBreakBefore w:val="0"/>
                    <w:kinsoku/>
                    <w:wordWrap/>
                    <w:overflowPunct/>
                    <w:topLinePunct w:val="0"/>
                    <w:autoSpaceDE/>
                    <w:autoSpaceDN/>
                    <w:bidi w:val="0"/>
                    <w:spacing w:after="0"/>
                    <w:ind w:left="0" w:leftChars="0" w:firstLine="0" w:firstLineChars="0"/>
                    <w:jc w:val="center"/>
                    <w:textAlignment w:val="auto"/>
                    <w:rPr>
                      <w:rFonts w:hint="default" w:ascii="Times New Roman" w:hAnsi="Times New Roman" w:eastAsia="宋体" w:cs="Times New Roman"/>
                      <w:b w:val="0"/>
                      <w:bCs w:val="0"/>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bidi="ar-SA"/>
                    </w:rPr>
                    <w:t>第二次</w:t>
                  </w:r>
                </w:p>
              </w:tc>
              <w:tc>
                <w:tcPr>
                  <w:tcW w:w="1127" w:type="dxa"/>
                  <w:noWrap w:val="0"/>
                  <w:vAlign w:val="center"/>
                </w:tcPr>
                <w:p w14:paraId="4CDA5AE7">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122</w:t>
                  </w:r>
                </w:p>
              </w:tc>
              <w:tc>
                <w:tcPr>
                  <w:tcW w:w="1127" w:type="dxa"/>
                  <w:noWrap w:val="0"/>
                  <w:vAlign w:val="center"/>
                </w:tcPr>
                <w:p w14:paraId="689BF901">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40.3</w:t>
                  </w:r>
                </w:p>
              </w:tc>
              <w:tc>
                <w:tcPr>
                  <w:tcW w:w="1127" w:type="dxa"/>
                  <w:noWrap w:val="0"/>
                  <w:vAlign w:val="center"/>
                </w:tcPr>
                <w:p w14:paraId="7AC00D7B">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40.3</w:t>
                  </w:r>
                </w:p>
              </w:tc>
              <w:tc>
                <w:tcPr>
                  <w:tcW w:w="1127" w:type="dxa"/>
                  <w:noWrap w:val="0"/>
                  <w:vAlign w:val="center"/>
                </w:tcPr>
                <w:p w14:paraId="14A32099">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78</w:t>
                  </w:r>
                </w:p>
              </w:tc>
              <w:tc>
                <w:tcPr>
                  <w:tcW w:w="1127" w:type="dxa"/>
                  <w:noWrap w:val="0"/>
                  <w:vAlign w:val="center"/>
                </w:tcPr>
                <w:p w14:paraId="42938F78">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1.02</w:t>
                  </w:r>
                </w:p>
              </w:tc>
              <w:tc>
                <w:tcPr>
                  <w:tcW w:w="1141" w:type="dxa"/>
                  <w:noWrap w:val="0"/>
                  <w:vAlign w:val="center"/>
                </w:tcPr>
                <w:p w14:paraId="4F4186B0">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28.3</w:t>
                  </w:r>
                </w:p>
              </w:tc>
            </w:tr>
            <w:tr w14:paraId="23C52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8" w:type="dxa"/>
                  <w:vMerge w:val="continue"/>
                  <w:noWrap w:val="0"/>
                  <w:vAlign w:val="center"/>
                </w:tcPr>
                <w:p w14:paraId="2CB789C6">
                  <w:pPr>
                    <w:pStyle w:val="15"/>
                    <w:keepNext w:val="0"/>
                    <w:keepLines w:val="0"/>
                    <w:pageBreakBefore w:val="0"/>
                    <w:kinsoku/>
                    <w:wordWrap/>
                    <w:overflowPunct/>
                    <w:topLinePunct w:val="0"/>
                    <w:autoSpaceDE/>
                    <w:autoSpaceDN/>
                    <w:bidi w:val="0"/>
                    <w:spacing w:after="0"/>
                    <w:textAlignment w:val="auto"/>
                    <w:rPr>
                      <w:rFonts w:hint="default" w:ascii="Times New Roman" w:hAnsi="Times New Roman" w:eastAsia="宋体" w:cs="Times New Roman"/>
                      <w:b w:val="0"/>
                      <w:bCs w:val="0"/>
                      <w:sz w:val="21"/>
                      <w:szCs w:val="21"/>
                      <w:vertAlign w:val="baseline"/>
                      <w:lang w:val="en-US" w:eastAsia="zh-CN" w:bidi="ar-SA"/>
                    </w:rPr>
                  </w:pPr>
                </w:p>
              </w:tc>
              <w:tc>
                <w:tcPr>
                  <w:tcW w:w="1095" w:type="dxa"/>
                  <w:noWrap w:val="0"/>
                  <w:vAlign w:val="center"/>
                </w:tcPr>
                <w:p w14:paraId="17292001">
                  <w:pPr>
                    <w:pStyle w:val="15"/>
                    <w:keepNext w:val="0"/>
                    <w:keepLines w:val="0"/>
                    <w:pageBreakBefore w:val="0"/>
                    <w:kinsoku/>
                    <w:wordWrap/>
                    <w:overflowPunct/>
                    <w:topLinePunct w:val="0"/>
                    <w:autoSpaceDE/>
                    <w:autoSpaceDN/>
                    <w:bidi w:val="0"/>
                    <w:spacing w:after="0"/>
                    <w:ind w:left="0" w:leftChars="0" w:firstLine="0" w:firstLineChars="0"/>
                    <w:jc w:val="center"/>
                    <w:textAlignment w:val="auto"/>
                    <w:rPr>
                      <w:rFonts w:hint="default" w:ascii="Times New Roman" w:hAnsi="Times New Roman" w:eastAsia="宋体" w:cs="Times New Roman"/>
                      <w:b w:val="0"/>
                      <w:bCs w:val="0"/>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bidi="ar-SA"/>
                    </w:rPr>
                    <w:t>第三次</w:t>
                  </w:r>
                </w:p>
              </w:tc>
              <w:tc>
                <w:tcPr>
                  <w:tcW w:w="1127" w:type="dxa"/>
                  <w:noWrap w:val="0"/>
                  <w:vAlign w:val="center"/>
                </w:tcPr>
                <w:p w14:paraId="41307B25">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126</w:t>
                  </w:r>
                </w:p>
              </w:tc>
              <w:tc>
                <w:tcPr>
                  <w:tcW w:w="1127" w:type="dxa"/>
                  <w:noWrap w:val="0"/>
                  <w:vAlign w:val="center"/>
                </w:tcPr>
                <w:p w14:paraId="459BAF7B">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41.7</w:t>
                  </w:r>
                </w:p>
              </w:tc>
              <w:tc>
                <w:tcPr>
                  <w:tcW w:w="1127" w:type="dxa"/>
                  <w:noWrap w:val="0"/>
                  <w:vAlign w:val="center"/>
                </w:tcPr>
                <w:p w14:paraId="710408DB">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41.7</w:t>
                  </w:r>
                </w:p>
              </w:tc>
              <w:tc>
                <w:tcPr>
                  <w:tcW w:w="1127" w:type="dxa"/>
                  <w:noWrap w:val="0"/>
                  <w:vAlign w:val="center"/>
                </w:tcPr>
                <w:p w14:paraId="3D21DA83">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82</w:t>
                  </w:r>
                </w:p>
              </w:tc>
              <w:tc>
                <w:tcPr>
                  <w:tcW w:w="1127" w:type="dxa"/>
                  <w:noWrap w:val="0"/>
                  <w:vAlign w:val="center"/>
                </w:tcPr>
                <w:p w14:paraId="320BD500">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1.04</w:t>
                  </w:r>
                </w:p>
              </w:tc>
              <w:tc>
                <w:tcPr>
                  <w:tcW w:w="1141" w:type="dxa"/>
                  <w:noWrap w:val="0"/>
                  <w:vAlign w:val="center"/>
                </w:tcPr>
                <w:p w14:paraId="43338E45">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28.1</w:t>
                  </w:r>
                </w:p>
              </w:tc>
            </w:tr>
            <w:tr w14:paraId="60399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8" w:type="dxa"/>
                  <w:vMerge w:val="restart"/>
                  <w:noWrap w:val="0"/>
                  <w:vAlign w:val="center"/>
                </w:tcPr>
                <w:p w14:paraId="77CE81B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2025.08.23</w:t>
                  </w:r>
                </w:p>
                <w:p w14:paraId="146B92C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废水排放口</w:t>
                  </w:r>
                </w:p>
              </w:tc>
              <w:tc>
                <w:tcPr>
                  <w:tcW w:w="1095" w:type="dxa"/>
                  <w:noWrap w:val="0"/>
                  <w:vAlign w:val="center"/>
                </w:tcPr>
                <w:p w14:paraId="38670AA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bidi="ar-SA"/>
                    </w:rPr>
                    <w:t>第一次</w:t>
                  </w:r>
                </w:p>
              </w:tc>
              <w:tc>
                <w:tcPr>
                  <w:tcW w:w="1127" w:type="dxa"/>
                  <w:noWrap w:val="0"/>
                  <w:vAlign w:val="center"/>
                </w:tcPr>
                <w:p w14:paraId="4F31B44C">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141</w:t>
                  </w:r>
                </w:p>
              </w:tc>
              <w:tc>
                <w:tcPr>
                  <w:tcW w:w="1127" w:type="dxa"/>
                  <w:noWrap w:val="0"/>
                  <w:vAlign w:val="center"/>
                </w:tcPr>
                <w:p w14:paraId="1673A1A4">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46.5</w:t>
                  </w:r>
                </w:p>
              </w:tc>
              <w:tc>
                <w:tcPr>
                  <w:tcW w:w="1127" w:type="dxa"/>
                  <w:noWrap w:val="0"/>
                  <w:vAlign w:val="center"/>
                </w:tcPr>
                <w:p w14:paraId="3D28ED9E">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46.5</w:t>
                  </w:r>
                </w:p>
              </w:tc>
              <w:tc>
                <w:tcPr>
                  <w:tcW w:w="1127" w:type="dxa"/>
                  <w:noWrap w:val="0"/>
                  <w:vAlign w:val="center"/>
                </w:tcPr>
                <w:p w14:paraId="300C7CE8">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79</w:t>
                  </w:r>
                </w:p>
              </w:tc>
              <w:tc>
                <w:tcPr>
                  <w:tcW w:w="1127" w:type="dxa"/>
                  <w:noWrap w:val="0"/>
                  <w:vAlign w:val="center"/>
                </w:tcPr>
                <w:p w14:paraId="4175A63D">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1.08</w:t>
                  </w:r>
                </w:p>
              </w:tc>
              <w:tc>
                <w:tcPr>
                  <w:tcW w:w="1141" w:type="dxa"/>
                  <w:noWrap w:val="0"/>
                  <w:vAlign w:val="center"/>
                </w:tcPr>
                <w:p w14:paraId="00878A61">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28.3</w:t>
                  </w:r>
                </w:p>
              </w:tc>
            </w:tr>
            <w:tr w14:paraId="458C0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8" w:type="dxa"/>
                  <w:vMerge w:val="continue"/>
                  <w:noWrap w:val="0"/>
                  <w:vAlign w:val="center"/>
                </w:tcPr>
                <w:p w14:paraId="7CD94550">
                  <w:pPr>
                    <w:pStyle w:val="15"/>
                    <w:keepNext w:val="0"/>
                    <w:keepLines w:val="0"/>
                    <w:pageBreakBefore w:val="0"/>
                    <w:kinsoku/>
                    <w:wordWrap/>
                    <w:overflowPunct/>
                    <w:topLinePunct w:val="0"/>
                    <w:autoSpaceDE/>
                    <w:autoSpaceDN/>
                    <w:bidi w:val="0"/>
                    <w:spacing w:after="0"/>
                    <w:textAlignment w:val="auto"/>
                    <w:rPr>
                      <w:rFonts w:hint="default" w:ascii="Times New Roman" w:hAnsi="Times New Roman" w:eastAsia="宋体" w:cs="Times New Roman"/>
                      <w:b w:val="0"/>
                      <w:bCs w:val="0"/>
                      <w:sz w:val="21"/>
                      <w:szCs w:val="21"/>
                      <w:vertAlign w:val="baseline"/>
                      <w:lang w:val="en-US" w:eastAsia="zh-CN" w:bidi="ar-SA"/>
                    </w:rPr>
                  </w:pPr>
                </w:p>
              </w:tc>
              <w:tc>
                <w:tcPr>
                  <w:tcW w:w="1095" w:type="dxa"/>
                  <w:noWrap w:val="0"/>
                  <w:vAlign w:val="center"/>
                </w:tcPr>
                <w:p w14:paraId="5E1A0AE0">
                  <w:pPr>
                    <w:pStyle w:val="15"/>
                    <w:keepNext w:val="0"/>
                    <w:keepLines w:val="0"/>
                    <w:pageBreakBefore w:val="0"/>
                    <w:kinsoku/>
                    <w:wordWrap/>
                    <w:overflowPunct/>
                    <w:topLinePunct w:val="0"/>
                    <w:autoSpaceDE/>
                    <w:autoSpaceDN/>
                    <w:bidi w:val="0"/>
                    <w:spacing w:after="0"/>
                    <w:ind w:left="0" w:leftChars="0" w:firstLine="0" w:firstLineChars="0"/>
                    <w:jc w:val="center"/>
                    <w:textAlignment w:val="auto"/>
                    <w:rPr>
                      <w:rFonts w:hint="default" w:ascii="Times New Roman" w:hAnsi="Times New Roman" w:eastAsia="宋体" w:cs="Times New Roman"/>
                      <w:b w:val="0"/>
                      <w:bCs w:val="0"/>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bidi="ar-SA"/>
                    </w:rPr>
                    <w:t>第二次</w:t>
                  </w:r>
                </w:p>
              </w:tc>
              <w:tc>
                <w:tcPr>
                  <w:tcW w:w="1127" w:type="dxa"/>
                  <w:noWrap w:val="0"/>
                  <w:vAlign w:val="center"/>
                </w:tcPr>
                <w:p w14:paraId="58C6EBB5">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130</w:t>
                  </w:r>
                </w:p>
              </w:tc>
              <w:tc>
                <w:tcPr>
                  <w:tcW w:w="1127" w:type="dxa"/>
                  <w:noWrap w:val="0"/>
                  <w:vAlign w:val="center"/>
                </w:tcPr>
                <w:p w14:paraId="66BDA950">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43.5</w:t>
                  </w:r>
                </w:p>
              </w:tc>
              <w:tc>
                <w:tcPr>
                  <w:tcW w:w="1127" w:type="dxa"/>
                  <w:noWrap w:val="0"/>
                  <w:vAlign w:val="center"/>
                </w:tcPr>
                <w:p w14:paraId="47F7E202">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43.5</w:t>
                  </w:r>
                </w:p>
              </w:tc>
              <w:tc>
                <w:tcPr>
                  <w:tcW w:w="1127" w:type="dxa"/>
                  <w:noWrap w:val="0"/>
                  <w:vAlign w:val="center"/>
                </w:tcPr>
                <w:p w14:paraId="0F44471B">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84</w:t>
                  </w:r>
                </w:p>
              </w:tc>
              <w:tc>
                <w:tcPr>
                  <w:tcW w:w="1127" w:type="dxa"/>
                  <w:noWrap w:val="0"/>
                  <w:vAlign w:val="center"/>
                </w:tcPr>
                <w:p w14:paraId="05D2ED4E">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1.03</w:t>
                  </w:r>
                </w:p>
              </w:tc>
              <w:tc>
                <w:tcPr>
                  <w:tcW w:w="1141" w:type="dxa"/>
                  <w:noWrap w:val="0"/>
                  <w:vAlign w:val="center"/>
                </w:tcPr>
                <w:p w14:paraId="1088D1F2">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28.2</w:t>
                  </w:r>
                </w:p>
              </w:tc>
            </w:tr>
            <w:tr w14:paraId="58FB3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8" w:type="dxa"/>
                  <w:vMerge w:val="continue"/>
                  <w:noWrap w:val="0"/>
                  <w:vAlign w:val="center"/>
                </w:tcPr>
                <w:p w14:paraId="233800D2">
                  <w:pPr>
                    <w:pStyle w:val="15"/>
                    <w:keepNext w:val="0"/>
                    <w:keepLines w:val="0"/>
                    <w:pageBreakBefore w:val="0"/>
                    <w:kinsoku/>
                    <w:wordWrap/>
                    <w:overflowPunct/>
                    <w:topLinePunct w:val="0"/>
                    <w:autoSpaceDE/>
                    <w:autoSpaceDN/>
                    <w:bidi w:val="0"/>
                    <w:spacing w:after="0"/>
                    <w:textAlignment w:val="auto"/>
                    <w:rPr>
                      <w:rFonts w:hint="default" w:ascii="Times New Roman" w:hAnsi="Times New Roman" w:eastAsia="宋体" w:cs="Times New Roman"/>
                      <w:b w:val="0"/>
                      <w:bCs w:val="0"/>
                      <w:sz w:val="21"/>
                      <w:szCs w:val="21"/>
                      <w:vertAlign w:val="baseline"/>
                      <w:lang w:val="en-US" w:eastAsia="zh-CN" w:bidi="ar-SA"/>
                    </w:rPr>
                  </w:pPr>
                </w:p>
              </w:tc>
              <w:tc>
                <w:tcPr>
                  <w:tcW w:w="1095" w:type="dxa"/>
                  <w:noWrap w:val="0"/>
                  <w:vAlign w:val="center"/>
                </w:tcPr>
                <w:p w14:paraId="777D2230">
                  <w:pPr>
                    <w:pStyle w:val="15"/>
                    <w:keepNext w:val="0"/>
                    <w:keepLines w:val="0"/>
                    <w:pageBreakBefore w:val="0"/>
                    <w:kinsoku/>
                    <w:wordWrap/>
                    <w:overflowPunct/>
                    <w:topLinePunct w:val="0"/>
                    <w:autoSpaceDE/>
                    <w:autoSpaceDN/>
                    <w:bidi w:val="0"/>
                    <w:spacing w:after="0"/>
                    <w:ind w:left="0" w:leftChars="0" w:firstLine="0" w:firstLineChars="0"/>
                    <w:jc w:val="center"/>
                    <w:textAlignment w:val="auto"/>
                    <w:rPr>
                      <w:rFonts w:hint="default" w:ascii="Times New Roman" w:hAnsi="Times New Roman" w:eastAsia="宋体" w:cs="Times New Roman"/>
                      <w:b w:val="0"/>
                      <w:bCs w:val="0"/>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bidi="ar-SA"/>
                    </w:rPr>
                    <w:t>第三次</w:t>
                  </w:r>
                </w:p>
              </w:tc>
              <w:tc>
                <w:tcPr>
                  <w:tcW w:w="1127" w:type="dxa"/>
                  <w:noWrap w:val="0"/>
                  <w:vAlign w:val="center"/>
                </w:tcPr>
                <w:p w14:paraId="7FD3A5D7">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136</w:t>
                  </w:r>
                </w:p>
              </w:tc>
              <w:tc>
                <w:tcPr>
                  <w:tcW w:w="1127" w:type="dxa"/>
                  <w:noWrap w:val="0"/>
                  <w:vAlign w:val="center"/>
                </w:tcPr>
                <w:p w14:paraId="471C7C9C">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44.9</w:t>
                  </w:r>
                </w:p>
              </w:tc>
              <w:tc>
                <w:tcPr>
                  <w:tcW w:w="1127" w:type="dxa"/>
                  <w:noWrap w:val="0"/>
                  <w:vAlign w:val="center"/>
                </w:tcPr>
                <w:p w14:paraId="0B2C3817">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44.9</w:t>
                  </w:r>
                </w:p>
              </w:tc>
              <w:tc>
                <w:tcPr>
                  <w:tcW w:w="1127" w:type="dxa"/>
                  <w:noWrap w:val="0"/>
                  <w:vAlign w:val="center"/>
                </w:tcPr>
                <w:p w14:paraId="499AAC8B">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80</w:t>
                  </w:r>
                </w:p>
              </w:tc>
              <w:tc>
                <w:tcPr>
                  <w:tcW w:w="1127" w:type="dxa"/>
                  <w:noWrap w:val="0"/>
                  <w:vAlign w:val="center"/>
                </w:tcPr>
                <w:p w14:paraId="7DCDF13A">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0.984</w:t>
                  </w:r>
                </w:p>
              </w:tc>
              <w:tc>
                <w:tcPr>
                  <w:tcW w:w="1141" w:type="dxa"/>
                  <w:noWrap w:val="0"/>
                  <w:vAlign w:val="center"/>
                </w:tcPr>
                <w:p w14:paraId="4845624D">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27.8</w:t>
                  </w:r>
                </w:p>
              </w:tc>
            </w:tr>
          </w:tbl>
          <w:p w14:paraId="4C3BCDFD">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根据检测结果，本项目生活污水经厂区化粪池处理后</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COD为122-141mg/L、BOD</w:t>
            </w:r>
            <w:r>
              <w:rPr>
                <w:rFonts w:hint="default" w:ascii="Times New Roman" w:hAnsi="Times New Roman" w:eastAsia="宋体" w:cs="Times New Roman"/>
                <w:color w:val="000000" w:themeColor="text1"/>
                <w:sz w:val="24"/>
                <w:szCs w:val="24"/>
                <w:highlight w:val="none"/>
                <w:vertAlign w:val="subscript"/>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为40.3-46.5mg/L 、SS为74-84mg/L、氨氮为13.3-15.3mg/L、总氮为27.8-29.2mg/L、总磷为0.984-1.08mg/L</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均满足《污水综合排放标准》（GB8978-1996）表4三级标准和长垣市第二污水处理厂收水标准。</w:t>
            </w:r>
          </w:p>
          <w:p w14:paraId="76808EA0">
            <w:pPr>
              <w:keepNext w:val="0"/>
              <w:keepLines w:val="0"/>
              <w:pageBreakBefore w:val="0"/>
              <w:widowControl/>
              <w:numPr>
                <w:ilvl w:val="0"/>
                <w:numId w:val="0"/>
              </w:numPr>
              <w:kinsoku/>
              <w:wordWrap/>
              <w:overflowPunct/>
              <w:topLinePunct w:val="0"/>
              <w:autoSpaceDE/>
              <w:autoSpaceDN/>
              <w:bidi w:val="0"/>
              <w:adjustRightInd/>
              <w:snapToGrid/>
              <w:spacing w:after="0" w:line="520" w:lineRule="exact"/>
              <w:ind w:firstLine="482" w:firstLineChars="200"/>
              <w:textAlignment w:val="auto"/>
              <w:outlineLvl w:val="9"/>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b/>
                <w:bCs/>
                <w:color w:val="000000" w:themeColor="text1"/>
                <w:sz w:val="24"/>
                <w:szCs w:val="24"/>
                <w:lang w:eastAsia="zh-CN"/>
                <w14:textFill>
                  <w14:solidFill>
                    <w14:schemeClr w14:val="tx1"/>
                  </w14:solidFill>
                </w14:textFill>
              </w:rPr>
              <w:t>噪声</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检测</w:t>
            </w:r>
          </w:p>
          <w:p w14:paraId="6F41DA7A">
            <w:pPr>
              <w:pStyle w:val="7"/>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本项目厂界噪声检测结果见下表。</w:t>
            </w:r>
          </w:p>
          <w:p w14:paraId="2C83AF7A">
            <w:pPr>
              <w:keepNext w:val="0"/>
              <w:keepLines w:val="0"/>
              <w:pageBreakBefore w:val="0"/>
              <w:widowControl/>
              <w:kinsoku/>
              <w:wordWrap/>
              <w:overflowPunct/>
              <w:topLinePunct w:val="0"/>
              <w:autoSpaceDE/>
              <w:autoSpaceDN/>
              <w:bidi w:val="0"/>
              <w:adjustRightInd/>
              <w:snapToGrid/>
              <w:spacing w:after="0" w:line="520" w:lineRule="exact"/>
              <w:ind w:left="0" w:leftChars="0" w:firstLine="0" w:firstLineChars="0"/>
              <w:jc w:val="center"/>
              <w:textAlignment w:val="auto"/>
              <w:outlineLvl w:val="9"/>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w:t>
            </w:r>
            <w:r>
              <w:rPr>
                <w:rFonts w:hint="default" w:ascii="Times New Roman" w:hAnsi="Times New Roman" w:eastAsia="宋体" w:cs="Times New Roman"/>
                <w:b/>
                <w:sz w:val="24"/>
                <w:szCs w:val="24"/>
                <w:lang w:val="en-US" w:eastAsia="zh-CN"/>
              </w:rPr>
              <w:t xml:space="preserve">19   </w:t>
            </w:r>
            <w:r>
              <w:rPr>
                <w:rFonts w:hint="default" w:ascii="Times New Roman" w:hAnsi="Times New Roman" w:eastAsia="宋体" w:cs="Times New Roman"/>
                <w:b/>
                <w:sz w:val="24"/>
                <w:szCs w:val="24"/>
              </w:rPr>
              <w:t>厂界环境噪声</w:t>
            </w:r>
            <w:r>
              <w:rPr>
                <w:rFonts w:hint="default" w:ascii="Times New Roman" w:hAnsi="Times New Roman" w:eastAsia="宋体" w:cs="Times New Roman"/>
                <w:b/>
                <w:sz w:val="24"/>
                <w:szCs w:val="24"/>
                <w:lang w:val="en-US" w:eastAsia="zh-CN"/>
              </w:rPr>
              <w:t>检测</w:t>
            </w:r>
            <w:r>
              <w:rPr>
                <w:rFonts w:hint="default" w:ascii="Times New Roman" w:hAnsi="Times New Roman" w:eastAsia="宋体" w:cs="Times New Roman"/>
                <w:b/>
                <w:sz w:val="24"/>
                <w:szCs w:val="24"/>
              </w:rPr>
              <w:t>结果</w:t>
            </w:r>
          </w:p>
          <w:tbl>
            <w:tblPr>
              <w:tblStyle w:val="17"/>
              <w:tblW w:w="497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284"/>
              <w:gridCol w:w="1682"/>
              <w:gridCol w:w="1685"/>
              <w:gridCol w:w="1682"/>
              <w:gridCol w:w="1685"/>
            </w:tblGrid>
            <w:tr w14:paraId="51B2DD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266" w:type="pct"/>
                  <w:tcBorders>
                    <w:tl2br w:val="nil"/>
                    <w:tr2bl w:val="nil"/>
                  </w:tcBorders>
                  <w:shd w:val="clear" w:color="auto" w:fill="auto"/>
                  <w:vAlign w:val="center"/>
                </w:tcPr>
                <w:p w14:paraId="0241F144">
                  <w:pPr>
                    <w:pStyle w:val="47"/>
                    <w:keepNext w:val="0"/>
                    <w:keepLines w:val="0"/>
                    <w:pageBreakBefore w:val="0"/>
                    <w:widowControl/>
                    <w:kinsoku/>
                    <w:wordWrap/>
                    <w:overflowPunct/>
                    <w:topLinePunct w:val="0"/>
                    <w:autoSpaceDE/>
                    <w:autoSpaceDN/>
                    <w:bidi w:val="0"/>
                    <w:adjustRightInd w:val="0"/>
                    <w:snapToGrid w:val="0"/>
                    <w:spacing w:after="0" w:line="240" w:lineRule="auto"/>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采样日期</w:t>
                  </w:r>
                </w:p>
              </w:tc>
              <w:tc>
                <w:tcPr>
                  <w:tcW w:w="1866" w:type="pct"/>
                  <w:gridSpan w:val="2"/>
                  <w:tcBorders>
                    <w:tl2br w:val="nil"/>
                    <w:tr2bl w:val="nil"/>
                  </w:tcBorders>
                  <w:shd w:val="clear" w:color="auto" w:fill="auto"/>
                  <w:vAlign w:val="center"/>
                </w:tcPr>
                <w:p w14:paraId="0506A748">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lang w:val="en-US" w:eastAsia="zh-CN" w:bidi="ar-SA"/>
                    </w:rPr>
                    <w:t>2025.8.22</w:t>
                  </w:r>
                </w:p>
              </w:tc>
              <w:tc>
                <w:tcPr>
                  <w:tcW w:w="1866" w:type="pct"/>
                  <w:gridSpan w:val="2"/>
                  <w:tcBorders>
                    <w:tl2br w:val="nil"/>
                    <w:tr2bl w:val="nil"/>
                  </w:tcBorders>
                  <w:shd w:val="clear" w:color="auto" w:fill="auto"/>
                  <w:vAlign w:val="center"/>
                </w:tcPr>
                <w:p w14:paraId="1F0BD635">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2025.8.23</w:t>
                  </w:r>
                </w:p>
              </w:tc>
            </w:tr>
            <w:tr w14:paraId="31BADA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266" w:type="pct"/>
                  <w:tcBorders>
                    <w:tl2br w:val="nil"/>
                    <w:tr2bl w:val="nil"/>
                  </w:tcBorders>
                  <w:shd w:val="clear" w:color="auto" w:fill="auto"/>
                  <w:vAlign w:val="center"/>
                </w:tcPr>
                <w:p w14:paraId="2BD40CD7">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18"/>
                      <w:szCs w:val="18"/>
                    </w:rPr>
                    <w:t>检测点位</w:t>
                  </w:r>
                </w:p>
              </w:tc>
              <w:tc>
                <w:tcPr>
                  <w:tcW w:w="932" w:type="pct"/>
                  <w:tcBorders>
                    <w:tl2br w:val="nil"/>
                    <w:tr2bl w:val="nil"/>
                  </w:tcBorders>
                  <w:shd w:val="clear" w:color="auto" w:fill="auto"/>
                  <w:vAlign w:val="center"/>
                </w:tcPr>
                <w:p w14:paraId="62CFE15B">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auto"/>
                      <w:sz w:val="18"/>
                      <w:szCs w:val="18"/>
                      <w:lang w:eastAsia="zh-CN"/>
                    </w:rPr>
                  </w:pPr>
                  <w:r>
                    <w:rPr>
                      <w:rFonts w:hint="default" w:ascii="Times New Roman" w:hAnsi="Times New Roman" w:eastAsia="宋体" w:cs="Times New Roman"/>
                      <w:bCs/>
                      <w:color w:val="auto"/>
                      <w:sz w:val="18"/>
                      <w:szCs w:val="18"/>
                    </w:rPr>
                    <w:t>昼间Leq[dB（A）]</w:t>
                  </w:r>
                </w:p>
              </w:tc>
              <w:tc>
                <w:tcPr>
                  <w:tcW w:w="933" w:type="pct"/>
                  <w:tcBorders>
                    <w:tl2br w:val="nil"/>
                    <w:tr2bl w:val="nil"/>
                  </w:tcBorders>
                  <w:shd w:val="clear" w:color="auto" w:fill="auto"/>
                  <w:vAlign w:val="center"/>
                </w:tcPr>
                <w:p w14:paraId="5D36A3E5">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auto"/>
                      <w:sz w:val="18"/>
                      <w:szCs w:val="18"/>
                    </w:rPr>
                  </w:pPr>
                  <w:r>
                    <w:rPr>
                      <w:rFonts w:hint="default" w:ascii="Times New Roman" w:hAnsi="Times New Roman" w:eastAsia="宋体" w:cs="Times New Roman"/>
                      <w:bCs/>
                      <w:color w:val="auto"/>
                      <w:sz w:val="18"/>
                      <w:szCs w:val="18"/>
                      <w:lang w:val="en-US" w:eastAsia="zh-CN"/>
                    </w:rPr>
                    <w:t>夜</w:t>
                  </w:r>
                  <w:r>
                    <w:rPr>
                      <w:rFonts w:hint="default" w:ascii="Times New Roman" w:hAnsi="Times New Roman" w:eastAsia="宋体" w:cs="Times New Roman"/>
                      <w:bCs/>
                      <w:color w:val="auto"/>
                      <w:sz w:val="18"/>
                      <w:szCs w:val="18"/>
                    </w:rPr>
                    <w:t>间Leq[dB（A）]</w:t>
                  </w:r>
                </w:p>
              </w:tc>
              <w:tc>
                <w:tcPr>
                  <w:tcW w:w="1934" w:type="dxa"/>
                  <w:tcBorders>
                    <w:tl2br w:val="nil"/>
                    <w:tr2bl w:val="nil"/>
                  </w:tcBorders>
                  <w:shd w:val="clear" w:color="auto" w:fill="auto"/>
                  <w:vAlign w:val="center"/>
                </w:tcPr>
                <w:p w14:paraId="72D0D4C7">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rPr>
                    <w:t>昼间Leq[dB（A）]</w:t>
                  </w:r>
                </w:p>
              </w:tc>
              <w:tc>
                <w:tcPr>
                  <w:tcW w:w="1939" w:type="dxa"/>
                  <w:tcBorders>
                    <w:tl2br w:val="nil"/>
                    <w:tr2bl w:val="nil"/>
                  </w:tcBorders>
                  <w:shd w:val="clear" w:color="auto" w:fill="auto"/>
                  <w:vAlign w:val="center"/>
                </w:tcPr>
                <w:p w14:paraId="634C85AD">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auto"/>
                      <w:sz w:val="18"/>
                      <w:szCs w:val="18"/>
                      <w:lang w:val="en-US" w:eastAsia="zh-CN"/>
                    </w:rPr>
                  </w:pPr>
                  <w:r>
                    <w:rPr>
                      <w:rFonts w:hint="default" w:ascii="Times New Roman" w:hAnsi="Times New Roman" w:eastAsia="宋体" w:cs="Times New Roman"/>
                      <w:bCs/>
                      <w:color w:val="auto"/>
                      <w:sz w:val="18"/>
                      <w:szCs w:val="18"/>
                      <w:lang w:val="en-US" w:eastAsia="zh-CN"/>
                    </w:rPr>
                    <w:t>夜</w:t>
                  </w:r>
                  <w:r>
                    <w:rPr>
                      <w:rFonts w:hint="default" w:ascii="Times New Roman" w:hAnsi="Times New Roman" w:eastAsia="宋体" w:cs="Times New Roman"/>
                      <w:bCs/>
                      <w:color w:val="auto"/>
                      <w:sz w:val="18"/>
                      <w:szCs w:val="18"/>
                    </w:rPr>
                    <w:t>间Leq[dB（A）]</w:t>
                  </w:r>
                </w:p>
              </w:tc>
            </w:tr>
            <w:tr w14:paraId="118657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266" w:type="pct"/>
                  <w:tcBorders>
                    <w:tl2br w:val="nil"/>
                    <w:tr2bl w:val="nil"/>
                  </w:tcBorders>
                  <w:vAlign w:val="center"/>
                </w:tcPr>
                <w:p w14:paraId="1B889EC4">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东</w:t>
                  </w:r>
                  <w:r>
                    <w:rPr>
                      <w:rFonts w:hint="default" w:ascii="Times New Roman" w:hAnsi="Times New Roman" w:eastAsia="宋体" w:cs="Times New Roman"/>
                      <w:color w:val="auto"/>
                      <w:sz w:val="18"/>
                      <w:szCs w:val="18"/>
                    </w:rPr>
                    <w:t>厂界</w:t>
                  </w:r>
                </w:p>
              </w:tc>
              <w:tc>
                <w:tcPr>
                  <w:tcW w:w="932" w:type="pct"/>
                  <w:tcBorders>
                    <w:tl2br w:val="nil"/>
                    <w:tr2bl w:val="nil"/>
                  </w:tcBorders>
                  <w:vAlign w:val="center"/>
                </w:tcPr>
                <w:p w14:paraId="18ACC4C2">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51</w:t>
                  </w:r>
                </w:p>
              </w:tc>
              <w:tc>
                <w:tcPr>
                  <w:tcW w:w="933" w:type="pct"/>
                  <w:tcBorders>
                    <w:tl2br w:val="nil"/>
                    <w:tr2bl w:val="nil"/>
                  </w:tcBorders>
                  <w:vAlign w:val="center"/>
                </w:tcPr>
                <w:p w14:paraId="02087794">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43</w:t>
                  </w:r>
                </w:p>
              </w:tc>
              <w:tc>
                <w:tcPr>
                  <w:tcW w:w="932" w:type="pct"/>
                  <w:tcBorders>
                    <w:tl2br w:val="nil"/>
                    <w:tr2bl w:val="nil"/>
                  </w:tcBorders>
                  <w:vAlign w:val="center"/>
                </w:tcPr>
                <w:p w14:paraId="73BDA76B">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52</w:t>
                  </w:r>
                </w:p>
              </w:tc>
              <w:tc>
                <w:tcPr>
                  <w:tcW w:w="933" w:type="pct"/>
                  <w:tcBorders>
                    <w:tl2br w:val="nil"/>
                    <w:tr2bl w:val="nil"/>
                  </w:tcBorders>
                  <w:vAlign w:val="center"/>
                </w:tcPr>
                <w:p w14:paraId="0EA31F4A">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42</w:t>
                  </w:r>
                </w:p>
              </w:tc>
            </w:tr>
            <w:tr w14:paraId="64B594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266" w:type="pct"/>
                  <w:tcBorders>
                    <w:tl2br w:val="nil"/>
                    <w:tr2bl w:val="nil"/>
                  </w:tcBorders>
                  <w:vAlign w:val="center"/>
                </w:tcPr>
                <w:p w14:paraId="63DC9600">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南</w:t>
                  </w:r>
                  <w:r>
                    <w:rPr>
                      <w:rFonts w:hint="default" w:ascii="Times New Roman" w:hAnsi="Times New Roman" w:eastAsia="宋体" w:cs="Times New Roman"/>
                      <w:color w:val="auto"/>
                      <w:sz w:val="18"/>
                      <w:szCs w:val="18"/>
                    </w:rPr>
                    <w:t>厂界</w:t>
                  </w:r>
                </w:p>
              </w:tc>
              <w:tc>
                <w:tcPr>
                  <w:tcW w:w="932" w:type="pct"/>
                  <w:tcBorders>
                    <w:tl2br w:val="nil"/>
                    <w:tr2bl w:val="nil"/>
                  </w:tcBorders>
                  <w:vAlign w:val="center"/>
                </w:tcPr>
                <w:p w14:paraId="2E24C193">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54</w:t>
                  </w:r>
                </w:p>
              </w:tc>
              <w:tc>
                <w:tcPr>
                  <w:tcW w:w="933" w:type="pct"/>
                  <w:tcBorders>
                    <w:tl2br w:val="nil"/>
                    <w:tr2bl w:val="nil"/>
                  </w:tcBorders>
                  <w:vAlign w:val="center"/>
                </w:tcPr>
                <w:p w14:paraId="05B95906">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40</w:t>
                  </w:r>
                </w:p>
              </w:tc>
              <w:tc>
                <w:tcPr>
                  <w:tcW w:w="932" w:type="pct"/>
                  <w:tcBorders>
                    <w:tl2br w:val="nil"/>
                    <w:tr2bl w:val="nil"/>
                  </w:tcBorders>
                  <w:vAlign w:val="center"/>
                </w:tcPr>
                <w:p w14:paraId="0275E9D5">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52</w:t>
                  </w:r>
                </w:p>
              </w:tc>
              <w:tc>
                <w:tcPr>
                  <w:tcW w:w="933" w:type="pct"/>
                  <w:tcBorders>
                    <w:tl2br w:val="nil"/>
                    <w:tr2bl w:val="nil"/>
                  </w:tcBorders>
                  <w:vAlign w:val="center"/>
                </w:tcPr>
                <w:p w14:paraId="6FD6D829">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41</w:t>
                  </w:r>
                </w:p>
              </w:tc>
            </w:tr>
            <w:tr w14:paraId="229AD9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266" w:type="pct"/>
                  <w:tcBorders>
                    <w:tl2br w:val="nil"/>
                    <w:tr2bl w:val="nil"/>
                  </w:tcBorders>
                  <w:vAlign w:val="center"/>
                </w:tcPr>
                <w:p w14:paraId="05D98435">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西厂界</w:t>
                  </w:r>
                </w:p>
              </w:tc>
              <w:tc>
                <w:tcPr>
                  <w:tcW w:w="932" w:type="pct"/>
                  <w:tcBorders>
                    <w:tl2br w:val="nil"/>
                    <w:tr2bl w:val="nil"/>
                  </w:tcBorders>
                  <w:vAlign w:val="center"/>
                </w:tcPr>
                <w:p w14:paraId="5A77FFFD">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52</w:t>
                  </w:r>
                </w:p>
              </w:tc>
              <w:tc>
                <w:tcPr>
                  <w:tcW w:w="933" w:type="pct"/>
                  <w:tcBorders>
                    <w:tl2br w:val="nil"/>
                    <w:tr2bl w:val="nil"/>
                  </w:tcBorders>
                  <w:vAlign w:val="center"/>
                </w:tcPr>
                <w:p w14:paraId="15EE90A2">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42</w:t>
                  </w:r>
                </w:p>
              </w:tc>
              <w:tc>
                <w:tcPr>
                  <w:tcW w:w="932" w:type="pct"/>
                  <w:tcBorders>
                    <w:tl2br w:val="nil"/>
                    <w:tr2bl w:val="nil"/>
                  </w:tcBorders>
                  <w:vAlign w:val="center"/>
                </w:tcPr>
                <w:p w14:paraId="39B612F3">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51</w:t>
                  </w:r>
                </w:p>
              </w:tc>
              <w:tc>
                <w:tcPr>
                  <w:tcW w:w="933" w:type="pct"/>
                  <w:tcBorders>
                    <w:tl2br w:val="nil"/>
                    <w:tr2bl w:val="nil"/>
                  </w:tcBorders>
                  <w:vAlign w:val="center"/>
                </w:tcPr>
                <w:p w14:paraId="62FEE4F4">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44</w:t>
                  </w:r>
                </w:p>
              </w:tc>
            </w:tr>
            <w:tr w14:paraId="463F98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266" w:type="pct"/>
                  <w:tcBorders>
                    <w:tl2br w:val="nil"/>
                    <w:tr2bl w:val="nil"/>
                  </w:tcBorders>
                  <w:vAlign w:val="center"/>
                </w:tcPr>
                <w:p w14:paraId="0241A9B9">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eastAsia="zh-CN"/>
                    </w:rPr>
                    <w:t>北厂界</w:t>
                  </w:r>
                </w:p>
              </w:tc>
              <w:tc>
                <w:tcPr>
                  <w:tcW w:w="932" w:type="pct"/>
                  <w:tcBorders>
                    <w:tl2br w:val="nil"/>
                    <w:tr2bl w:val="nil"/>
                  </w:tcBorders>
                  <w:vAlign w:val="center"/>
                </w:tcPr>
                <w:p w14:paraId="5A6EE22E">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53</w:t>
                  </w:r>
                </w:p>
              </w:tc>
              <w:tc>
                <w:tcPr>
                  <w:tcW w:w="933" w:type="pct"/>
                  <w:tcBorders>
                    <w:tl2br w:val="nil"/>
                    <w:tr2bl w:val="nil"/>
                  </w:tcBorders>
                  <w:vAlign w:val="center"/>
                </w:tcPr>
                <w:p w14:paraId="6A0A83EF">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41</w:t>
                  </w:r>
                </w:p>
              </w:tc>
              <w:tc>
                <w:tcPr>
                  <w:tcW w:w="932" w:type="pct"/>
                  <w:tcBorders>
                    <w:tl2br w:val="nil"/>
                    <w:tr2bl w:val="nil"/>
                  </w:tcBorders>
                  <w:vAlign w:val="center"/>
                </w:tcPr>
                <w:p w14:paraId="79209005">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54</w:t>
                  </w:r>
                </w:p>
              </w:tc>
              <w:tc>
                <w:tcPr>
                  <w:tcW w:w="933" w:type="pct"/>
                  <w:tcBorders>
                    <w:tl2br w:val="nil"/>
                    <w:tr2bl w:val="nil"/>
                  </w:tcBorders>
                  <w:vAlign w:val="center"/>
                </w:tcPr>
                <w:p w14:paraId="29EEA557">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43</w:t>
                  </w:r>
                </w:p>
              </w:tc>
            </w:tr>
          </w:tbl>
          <w:p w14:paraId="0502DBA8">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由噪声检测结果显示，本项目厂界</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昼间噪声在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51</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dB（A）之间，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夜间40-44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dB（A）之间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，噪声</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能够达到《工业企业厂界环境噪声排放标准》（GB12348-2008）2类标准要求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昼间≤60dB（A）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，夜间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1BA43438">
            <w:pPr>
              <w:pStyle w:val="7"/>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4E5148A9">
            <w:pPr>
              <w:pStyle w:val="7"/>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6F71957E">
            <w:pPr>
              <w:pStyle w:val="7"/>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323133CC">
            <w:pPr>
              <w:pStyle w:val="7"/>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1D99E88A">
            <w:pPr>
              <w:pStyle w:val="7"/>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223D787F">
            <w:pPr>
              <w:pStyle w:val="7"/>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7F1BDE2F">
            <w:pPr>
              <w:pStyle w:val="7"/>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4E635290">
            <w:pPr>
              <w:pStyle w:val="7"/>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0487D7B0">
            <w:pPr>
              <w:pStyle w:val="7"/>
              <w:keepNext w:val="0"/>
              <w:keepLines w:val="0"/>
              <w:pageBreakBefore w:val="0"/>
              <w:widowControl/>
              <w:kinsoku/>
              <w:wordWrap/>
              <w:overflowPunct/>
              <w:topLinePunct w:val="0"/>
              <w:autoSpaceDE/>
              <w:autoSpaceDN/>
              <w:bidi w:val="0"/>
              <w:adjustRightInd/>
              <w:snapToGrid/>
              <w:spacing w:after="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4CA13BCD">
            <w:pPr>
              <w:pStyle w:val="7"/>
              <w:keepNext w:val="0"/>
              <w:keepLines w:val="0"/>
              <w:pageBreakBefore w:val="0"/>
              <w:widowControl/>
              <w:kinsoku/>
              <w:wordWrap/>
              <w:overflowPunct/>
              <w:topLinePunct w:val="0"/>
              <w:autoSpaceDE/>
              <w:autoSpaceDN/>
              <w:bidi w:val="0"/>
              <w:adjustRightInd/>
              <w:snapToGrid/>
              <w:spacing w:after="0" w:line="520" w:lineRule="exac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22799A03">
            <w:pPr>
              <w:pStyle w:val="7"/>
              <w:keepNext w:val="0"/>
              <w:keepLines w:val="0"/>
              <w:pageBreakBefore w:val="0"/>
              <w:widowControl/>
              <w:kinsoku/>
              <w:wordWrap/>
              <w:overflowPunct/>
              <w:topLinePunct w:val="0"/>
              <w:autoSpaceDE/>
              <w:autoSpaceDN/>
              <w:bidi w:val="0"/>
              <w:adjustRightInd/>
              <w:snapToGrid/>
              <w:spacing w:after="0" w:line="240" w:lineRule="auto"/>
              <w:textAlignment w:val="auto"/>
              <w:outlineLvl w:val="9"/>
              <w:rPr>
                <w:rFonts w:hint="default" w:ascii="Times New Roman" w:hAnsi="Times New Roman" w:eastAsia="仿宋_GB2312" w:cs="Times New Roman"/>
                <w:color w:val="FF0000"/>
                <w:sz w:val="21"/>
                <w:szCs w:val="21"/>
                <w:lang w:val="en-US" w:eastAsia="zh-CN"/>
              </w:rPr>
            </w:pPr>
          </w:p>
        </w:tc>
      </w:tr>
    </w:tbl>
    <w:p w14:paraId="403F441A">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表八</w:t>
      </w:r>
    </w:p>
    <w:tbl>
      <w:tblPr>
        <w:tblStyle w:val="17"/>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14:paraId="4BD14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3" w:hRule="atLeast"/>
          <w:jc w:val="center"/>
        </w:trPr>
        <w:tc>
          <w:tcPr>
            <w:tcW w:w="9288" w:type="dxa"/>
            <w:vAlign w:val="top"/>
          </w:tcPr>
          <w:p w14:paraId="06AD7EBF">
            <w:pPr>
              <w:pStyle w:val="4"/>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w:t>
            </w:r>
            <w:r>
              <w:rPr>
                <w:rFonts w:hint="eastAsia" w:cs="Times New Roman"/>
                <w:b/>
                <w:bCs/>
                <w:color w:val="000000" w:themeColor="text1"/>
                <w:sz w:val="24"/>
                <w:szCs w:val="24"/>
                <w:lang w:val="en-US" w:eastAsia="zh-CN" w:bidi="ar-SA"/>
                <w14:textFill>
                  <w14:solidFill>
                    <w14:schemeClr w14:val="tx1"/>
                  </w14:solidFill>
                </w14:textFill>
              </w:rPr>
              <w:t>检测</w:t>
            </w: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结论：</w:t>
            </w:r>
          </w:p>
          <w:p w14:paraId="21853548">
            <w:pPr>
              <w:pStyle w:val="4"/>
              <w:pageBreakBefore w:val="0"/>
              <w:widowControl/>
              <w:numPr>
                <w:ilvl w:val="0"/>
                <w:numId w:val="0"/>
              </w:numPr>
              <w:kinsoku/>
              <w:wordWrap/>
              <w:overflowPunct/>
              <w:topLinePunct w:val="0"/>
              <w:autoSpaceDE/>
              <w:autoSpaceDN/>
              <w:bidi w:val="0"/>
              <w:adjustRightInd/>
              <w:snapToGrid/>
              <w:spacing w:before="0" w:beforeLines="0" w:after="0" w:afterLines="0" w:line="520" w:lineRule="exact"/>
              <w:ind w:left="440" w:leftChars="0"/>
              <w:textAlignment w:val="auto"/>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验收</w:t>
            </w:r>
            <w:r>
              <w:rPr>
                <w:rFonts w:hint="eastAsia"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期间，该公司生产运行正常，生产负荷满足验收</w:t>
            </w:r>
            <w:r>
              <w:rPr>
                <w:rFonts w:hint="eastAsia" w:cs="Times New Roman" w:eastAsiaTheme="minorEastAsia"/>
                <w:b w:val="0"/>
                <w:bCs w:val="0"/>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工况要求。</w:t>
            </w:r>
          </w:p>
          <w:p w14:paraId="1C707A3E">
            <w:pPr>
              <w:pStyle w:val="4"/>
              <w:keepNext/>
              <w:keepLines/>
              <w:pageBreakBefore w:val="0"/>
              <w:widowControl/>
              <w:numPr>
                <w:ilvl w:val="0"/>
                <w:numId w:val="0"/>
              </w:numPr>
              <w:kinsoku/>
              <w:wordWrap/>
              <w:overflowPunct/>
              <w:topLinePunct w:val="0"/>
              <w:autoSpaceDE/>
              <w:autoSpaceDN/>
              <w:bidi w:val="0"/>
              <w:adjustRightInd/>
              <w:snapToGrid/>
              <w:spacing w:before="0" w:beforeLines="0" w:after="0" w:afterLines="0" w:line="520" w:lineRule="exact"/>
              <w:ind w:right="0" w:rightChars="0" w:firstLine="480" w:firstLineChars="200"/>
              <w:textAlignment w:val="auto"/>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1、本项目非甲烷总烃排放浓度在</w:t>
            </w:r>
            <w:r>
              <w:rPr>
                <w:rFonts w:hint="eastAsia" w:cs="Times New Roman"/>
                <w:b w:val="0"/>
                <w:bCs w:val="0"/>
                <w:color w:val="000000" w:themeColor="text1"/>
                <w:kern w:val="2"/>
                <w:sz w:val="24"/>
                <w:szCs w:val="24"/>
                <w:lang w:val="en-US" w:eastAsia="zh-CN" w:bidi="ar-SA"/>
                <w14:textFill>
                  <w14:solidFill>
                    <w14:schemeClr w14:val="tx1"/>
                  </w14:solidFill>
                </w14:textFill>
              </w:rPr>
              <w:t>7.18-7.61</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mg/m</w:t>
            </w:r>
            <w:r>
              <w:rPr>
                <w:rFonts w:hint="default" w:ascii="Times New Roman" w:hAnsi="Times New Roman" w:eastAsia="宋体" w:cs="Times New Roman"/>
                <w:b w:val="0"/>
                <w:bCs w:val="0"/>
                <w:color w:val="000000" w:themeColor="text1"/>
                <w:kern w:val="2"/>
                <w:sz w:val="24"/>
                <w:szCs w:val="24"/>
                <w:vertAlign w:val="superscript"/>
                <w:lang w:val="en-US" w:eastAsia="zh-CN" w:bidi="ar-SA"/>
                <w14:textFill>
                  <w14:solidFill>
                    <w14:schemeClr w14:val="tx1"/>
                  </w14:solidFill>
                </w14:textFill>
              </w:rPr>
              <w:t>3</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之间，</w:t>
            </w:r>
            <w:r>
              <w:rPr>
                <w:rFonts w:hint="eastAsia" w:ascii="Times New Roman" w:hAnsi="Times New Roman" w:eastAsia="宋体" w:cs="Times New Roman"/>
                <w:b w:val="0"/>
                <w:bCs w:val="0"/>
                <w:color w:val="000000"/>
                <w:sz w:val="24"/>
                <w:szCs w:val="24"/>
                <w:u w:val="none"/>
                <w:lang w:val="en-US" w:eastAsia="zh-CN"/>
              </w:rPr>
              <w:t>满足《关于全省开展工业企业挥发性有机物专项治理工作中排放建议值的通知（豫环攻坚办〔2017〕162 号）》要求（</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排放浓度</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有组织8</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0mg/m</w:t>
            </w:r>
            <w:r>
              <w:rPr>
                <w:rFonts w:hint="default" w:ascii="Times New Roman" w:hAnsi="Times New Roman" w:eastAsia="宋体" w:cs="Times New Roman"/>
                <w:b w:val="0"/>
                <w:bCs w:val="0"/>
                <w:color w:val="000000" w:themeColor="text1"/>
                <w:kern w:val="2"/>
                <w:sz w:val="24"/>
                <w:szCs w:val="24"/>
                <w:vertAlign w:val="superscript"/>
                <w:lang w:val="en-US" w:eastAsia="zh-CN" w:bidi="ar-SA"/>
                <w14:textFill>
                  <w14:solidFill>
                    <w14:schemeClr w14:val="tx1"/>
                  </w14:solidFill>
                </w14:textFill>
              </w:rPr>
              <w:t>3</w:t>
            </w:r>
            <w:r>
              <w:rPr>
                <w:rFonts w:hint="eastAsia" w:ascii="Times New Roman" w:hAnsi="Times New Roman" w:eastAsia="宋体" w:cs="Times New Roman"/>
                <w:b w:val="0"/>
                <w:bCs w:val="0"/>
                <w:color w:val="000000"/>
                <w:sz w:val="24"/>
                <w:szCs w:val="24"/>
                <w:u w:val="none"/>
                <w:lang w:val="en-US" w:eastAsia="zh-CN"/>
              </w:rPr>
              <w:t>）</w:t>
            </w:r>
            <w:r>
              <w:rPr>
                <w:rFonts w:hint="eastAsia" w:ascii="Times New Roman" w:hAnsi="Times New Roman" w:cs="Times New Roman"/>
                <w:b w:val="0"/>
                <w:bCs w:val="0"/>
                <w:color w:val="000000"/>
                <w:sz w:val="24"/>
                <w:szCs w:val="24"/>
                <w:u w:val="none"/>
                <w:lang w:val="en-US" w:eastAsia="zh-CN"/>
              </w:rPr>
              <w:t>；</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颗粒物放浓度在</w:t>
            </w:r>
            <w:r>
              <w:rPr>
                <w:rFonts w:hint="eastAsia" w:cs="Times New Roman"/>
                <w:b w:val="0"/>
                <w:bCs w:val="0"/>
                <w:color w:val="000000" w:themeColor="text1"/>
                <w:kern w:val="2"/>
                <w:sz w:val="24"/>
                <w:szCs w:val="24"/>
                <w:lang w:val="en-US" w:eastAsia="zh-CN" w:bidi="ar-SA"/>
                <w14:textFill>
                  <w14:solidFill>
                    <w14:schemeClr w14:val="tx1"/>
                  </w14:solidFill>
                </w14:textFill>
              </w:rPr>
              <w:t>4.1-4.9</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mg/m</w:t>
            </w:r>
            <w:r>
              <w:rPr>
                <w:rFonts w:hint="eastAsia" w:ascii="Times New Roman" w:hAnsi="Times New Roman" w:eastAsia="宋体" w:cs="Times New Roman"/>
                <w:b w:val="0"/>
                <w:bCs w:val="0"/>
                <w:color w:val="000000" w:themeColor="text1"/>
                <w:kern w:val="2"/>
                <w:sz w:val="24"/>
                <w:szCs w:val="24"/>
                <w:vertAlign w:val="superscript"/>
                <w:lang w:val="en-US" w:eastAsia="zh-CN" w:bidi="ar-SA"/>
                <w14:textFill>
                  <w14:solidFill>
                    <w14:schemeClr w14:val="tx1"/>
                  </w14:solidFill>
                </w14:textFill>
              </w:rPr>
              <w:t>3</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之间，</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满足《铸造工业大气污染物排放标准》</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GB39726-2020</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（有组织：</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3</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0mg/m</w:t>
            </w:r>
            <w:r>
              <w:rPr>
                <w:rFonts w:hint="default" w:ascii="Times New Roman" w:hAnsi="Times New Roman" w:eastAsia="宋体" w:cs="Times New Roman"/>
                <w:b w:val="0"/>
                <w:bCs w:val="0"/>
                <w:color w:val="000000" w:themeColor="text1"/>
                <w:kern w:val="2"/>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，同时满足《新乡市生态环境局关于进一步规范工业企业颗粒物排放限值的通知》要求（排放浓度</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有组织</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10mg/m</w:t>
            </w:r>
            <w:r>
              <w:rPr>
                <w:rFonts w:hint="default" w:ascii="Times New Roman" w:hAnsi="Times New Roman" w:eastAsia="宋体" w:cs="Times New Roman"/>
                <w:b w:val="0"/>
                <w:bCs w:val="0"/>
                <w:color w:val="000000" w:themeColor="text1"/>
                <w:kern w:val="2"/>
                <w:sz w:val="24"/>
                <w:szCs w:val="24"/>
                <w:vertAlign w:val="superscript"/>
                <w:lang w:val="en-US" w:eastAsia="zh-CN" w:bidi="ar-SA"/>
                <w14:textFill>
                  <w14:solidFill>
                    <w14:schemeClr w14:val="tx1"/>
                  </w14:solidFill>
                </w14:textFill>
              </w:rPr>
              <w:t>3</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w:t>
            </w:r>
          </w:p>
          <w:p w14:paraId="2053F2E4">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ind w:left="0" w:leftChars="0" w:firstLine="480" w:firstLineChars="200"/>
              <w:textAlignment w:val="auto"/>
              <w:rPr>
                <w:rFonts w:hint="default" w:ascii="Times New Roman" w:hAnsi="Times New Roman" w:eastAsia="微软雅黑"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无组织废气中</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非甲烷总</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烃</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排放浓度</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在0.40-0.66</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满足</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《关于全省开展工业企业挥发性有机物专项治理工作中排放建议值的通知》（豫环攻坚办〔2017〕162号）排放标准</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（2.0mg/m</w:t>
            </w:r>
            <w:r>
              <w:rPr>
                <w:rFonts w:hint="eastAsia" w:ascii="Times New Roman" w:hAnsi="Times New Roman" w:eastAsia="宋体" w:cs="Times New Roman"/>
                <w:color w:val="000000" w:themeColor="text1"/>
                <w:kern w:val="2"/>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w:t>
            </w:r>
            <w:r>
              <w:rPr>
                <w:rFonts w:hint="eastAsia" w:ascii="Times New Roman" w:hAnsi="Times New Roman" w:eastAsia="宋体" w:cs="Times New Roman"/>
                <w:sz w:val="24"/>
                <w:szCs w:val="24"/>
                <w:vertAlign w:val="baseline"/>
                <w:lang w:eastAsia="zh-CN"/>
              </w:rPr>
              <w:t>颗粒物</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排放浓度</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在0.246-0.336</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之间，满足</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《新乡市生态环境局关于进一步规范工业企业颗粒物排放限值的通知》要求（颗粒物</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0.5</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mg/m</w:t>
            </w:r>
            <w:r>
              <w:rPr>
                <w:rFonts w:hint="default" w:ascii="Times New Roman" w:hAnsi="Times New Roman" w:eastAsia="宋体" w:cs="Times New Roman"/>
                <w:color w:val="000000" w:themeColor="text1"/>
                <w:kern w:val="2"/>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w:t>
            </w:r>
          </w:p>
          <w:p w14:paraId="39744261">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ind w:left="0" w:leftChars="0" w:firstLine="480" w:firstLineChars="200"/>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本项目生活污水经厂区化</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粪池处理后COD为</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122-141</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BOD</w:t>
            </w:r>
            <w:r>
              <w:rPr>
                <w:rFonts w:hint="default" w:ascii="Times New Roman" w:hAnsi="Times New Roman" w:cs="Times New Roman" w:eastAsiaTheme="minorEastAsia"/>
                <w:color w:val="000000" w:themeColor="text1"/>
                <w:sz w:val="24"/>
                <w:szCs w:val="24"/>
                <w:highlight w:val="none"/>
                <w:vertAlign w:val="subscript"/>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为</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40.3-46.5</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 xml:space="preserve">mg/L </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SS为</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74-84</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氨氮为</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13.3-15.3</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、总氮为27.8-29.2</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、总磷为0.984-1.08</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mg/L均满足《污水综合排放标准》（GB897</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8-1996）表4三级标准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和长垣市第二污水处理厂收水标准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14:paraId="1143E092">
            <w:pPr>
              <w:pageBreakBefore w:val="0"/>
              <w:widowControl/>
              <w:numPr>
                <w:ilvl w:val="0"/>
                <w:numId w:val="0"/>
              </w:numPr>
              <w:kinsoku/>
              <w:wordWrap/>
              <w:overflowPunct/>
              <w:topLinePunct w:val="0"/>
              <w:autoSpaceDE/>
              <w:autoSpaceDN/>
              <w:bidi w:val="0"/>
              <w:adjustRightInd/>
              <w:snapToGrid/>
              <w:spacing w:after="0" w:afterLines="0" w:line="520" w:lineRule="exact"/>
              <w:ind w:firstLine="480" w:firstLineChars="200"/>
              <w:textAlignment w:val="auto"/>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3</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由</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结果可知，本项目厂界昼间噪声在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51</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dB（A）之间，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夜间40-44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dB（A）之间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，噪声</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能够达到《工业企业厂界环境噪声排放标准》（GB12348-2008）2类标准要求</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昼间≤60dB（A）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，夜间</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0dB（A）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1455B974">
            <w:pPr>
              <w:pageBreakBefore w:val="0"/>
              <w:widowControl/>
              <w:numPr>
                <w:ilvl w:val="0"/>
                <w:numId w:val="0"/>
              </w:numPr>
              <w:kinsoku/>
              <w:wordWrap/>
              <w:overflowPunct/>
              <w:topLinePunct w:val="0"/>
              <w:autoSpaceDE/>
              <w:autoSpaceDN/>
              <w:bidi w:val="0"/>
              <w:adjustRightInd/>
              <w:snapToGrid/>
              <w:spacing w:after="0" w:afterLines="0" w:line="520" w:lineRule="exact"/>
              <w:ind w:firstLine="480" w:firstLineChars="200"/>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本项目一般固废在厂区暂存后外售；危险废物暂存后定期交由有危废处理资质的单位进行处理；生活垃圾经收集后由当地环卫部门处置。</w:t>
            </w:r>
          </w:p>
          <w:p w14:paraId="040A6BB2">
            <w:pPr>
              <w:pageBreakBefore w:val="0"/>
              <w:widowControl/>
              <w:numPr>
                <w:ilvl w:val="0"/>
                <w:numId w:val="0"/>
              </w:numPr>
              <w:kinsoku/>
              <w:wordWrap/>
              <w:overflowPunct/>
              <w:topLinePunct w:val="0"/>
              <w:autoSpaceDE/>
              <w:autoSpaceDN/>
              <w:bidi w:val="0"/>
              <w:adjustRightInd/>
              <w:snapToGrid/>
              <w:spacing w:after="0" w:afterLines="0" w:line="520" w:lineRule="exact"/>
              <w:ind w:firstLine="480" w:firstLineChars="200"/>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p w14:paraId="43043502">
            <w:pPr>
              <w:pageBreakBefore w:val="0"/>
              <w:widowControl/>
              <w:numPr>
                <w:ilvl w:val="0"/>
                <w:numId w:val="0"/>
              </w:numPr>
              <w:kinsoku/>
              <w:wordWrap/>
              <w:overflowPunct/>
              <w:topLinePunct w:val="0"/>
              <w:autoSpaceDE/>
              <w:autoSpaceDN/>
              <w:bidi w:val="0"/>
              <w:adjustRightInd/>
              <w:snapToGrid/>
              <w:spacing w:after="0" w:afterLines="0" w:line="520" w:lineRule="exact"/>
              <w:ind w:firstLine="480" w:firstLineChars="200"/>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p w14:paraId="32B5FF86">
            <w:pPr>
              <w:pageBreakBefore w:val="0"/>
              <w:widowControl/>
              <w:numPr>
                <w:ilvl w:val="0"/>
                <w:numId w:val="0"/>
              </w:numPr>
              <w:kinsoku/>
              <w:wordWrap/>
              <w:overflowPunct/>
              <w:topLinePunct w:val="0"/>
              <w:autoSpaceDE/>
              <w:autoSpaceDN/>
              <w:bidi w:val="0"/>
              <w:adjustRightInd/>
              <w:snapToGrid/>
              <w:spacing w:after="0" w:afterLines="0" w:line="520" w:lineRule="exact"/>
              <w:ind w:firstLine="480" w:firstLineChars="200"/>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p w14:paraId="7FD9ADC6">
            <w:pPr>
              <w:pageBreakBefore w:val="0"/>
              <w:widowControl/>
              <w:numPr>
                <w:ilvl w:val="0"/>
                <w:numId w:val="0"/>
              </w:numPr>
              <w:kinsoku/>
              <w:wordWrap/>
              <w:overflowPunct/>
              <w:topLinePunct w:val="0"/>
              <w:autoSpaceDE/>
              <w:autoSpaceDN/>
              <w:bidi w:val="0"/>
              <w:adjustRightInd/>
              <w:snapToGrid/>
              <w:spacing w:after="0" w:afterLines="0" w:line="520" w:lineRule="exact"/>
              <w:ind w:firstLine="480" w:firstLineChars="200"/>
              <w:textAlignment w:val="auto"/>
              <w:rPr>
                <w:rFonts w:hint="default" w:ascii="Times New Roman" w:hAnsi="Times New Roman" w:eastAsia="仿宋_GB2312" w:cs="Times New Roman"/>
                <w:color w:val="FF0000"/>
                <w:sz w:val="24"/>
                <w:szCs w:val="24"/>
                <w:lang w:val="en-US" w:eastAsia="zh-CN"/>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 xml:space="preserve"> </w:t>
            </w:r>
          </w:p>
        </w:tc>
      </w:tr>
    </w:tbl>
    <w:p w14:paraId="356D910D">
      <w:pPr>
        <w:pStyle w:val="2"/>
        <w:keepNext/>
        <w:keepLines/>
        <w:pageBreakBefore w:val="0"/>
        <w:widowControl/>
        <w:kinsoku/>
        <w:wordWrap/>
        <w:overflowPunct/>
        <w:topLinePunct w:val="0"/>
        <w:autoSpaceDE/>
        <w:autoSpaceDN/>
        <w:bidi w:val="0"/>
        <w:adjustRightInd/>
        <w:snapToGrid/>
        <w:spacing w:before="0" w:beforeLines="0" w:after="0" w:afterLines="0" w:line="520" w:lineRule="exact"/>
        <w:textAlignment w:val="auto"/>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2628972">
      <w:pPr>
        <w:keepNext w:val="0"/>
        <w:keepLines w:val="0"/>
        <w:pageBreakBefore w:val="0"/>
        <w:widowControl/>
        <w:kinsoku/>
        <w:wordWrap/>
        <w:overflowPunct/>
        <w:topLinePunct w:val="0"/>
        <w:autoSpaceDE/>
        <w:autoSpaceDN/>
        <w:bidi w:val="0"/>
        <w:adjustRightInd/>
        <w:snapToGrid/>
        <w:spacing w:after="0"/>
        <w:ind w:firstLine="562"/>
        <w:jc w:val="center"/>
        <w:textAlignment w:val="auto"/>
        <w:rPr>
          <w:rFonts w:hint="default" w:ascii="Times New Roman" w:hAnsi="Times New Roman" w:eastAsia="黑体" w:cs="Times New Roman"/>
          <w:b/>
          <w:color w:val="auto"/>
          <w:sz w:val="28"/>
        </w:rPr>
      </w:pPr>
      <w:r>
        <w:rPr>
          <w:rFonts w:hint="default" w:ascii="Times New Roman" w:hAnsi="Times New Roman" w:eastAsia="黑体" w:cs="Times New Roman"/>
          <w:b/>
          <w:color w:val="auto"/>
          <w:sz w:val="28"/>
        </w:rPr>
        <w:t>建设项目工程竣工环境保护“三同时”验收登记表</w:t>
      </w:r>
    </w:p>
    <w:p w14:paraId="617C6276">
      <w:pPr>
        <w:keepNext w:val="0"/>
        <w:keepLines w:val="0"/>
        <w:pageBreakBefore w:val="0"/>
        <w:widowControl/>
        <w:kinsoku/>
        <w:wordWrap/>
        <w:overflowPunct/>
        <w:topLinePunct w:val="0"/>
        <w:autoSpaceDE/>
        <w:autoSpaceDN/>
        <w:bidi w:val="0"/>
        <w:adjustRightInd/>
        <w:snapToGrid/>
        <w:spacing w:after="0"/>
        <w:ind w:firstLine="482"/>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填表单位（盖章）：</w:t>
      </w:r>
      <w:r>
        <w:rPr>
          <w:rFonts w:hint="eastAsia"/>
          <w:color w:val="auto"/>
          <w:sz w:val="24"/>
          <w:lang w:val="en-US" w:eastAsia="zh-CN"/>
        </w:rPr>
        <w:t>新乡市科博特起重机械</w:t>
      </w:r>
      <w:r>
        <w:rPr>
          <w:rFonts w:hint="eastAsia"/>
          <w:color w:val="auto"/>
          <w:sz w:val="24"/>
        </w:rPr>
        <w:t>有限公司</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填表人（签字）：                              </w:t>
      </w:r>
      <w:r>
        <w:rPr>
          <w:rFonts w:hint="eastAsia" w:ascii="Times New Roman" w:hAnsi="Times New Roman" w:cs="Times New Roman"/>
          <w:color w:val="auto"/>
          <w:szCs w:val="21"/>
          <w:lang w:val="en-US" w:eastAsia="zh-CN"/>
        </w:rPr>
        <w:t xml:space="preserve">               </w:t>
      </w:r>
      <w:r>
        <w:rPr>
          <w:rFonts w:hint="default" w:ascii="Times New Roman" w:hAnsi="Times New Roman" w:cs="Times New Roman"/>
          <w:color w:val="auto"/>
          <w:szCs w:val="21"/>
        </w:rPr>
        <w:t xml:space="preserve">      项目经办人（签字）：        </w:t>
      </w:r>
    </w:p>
    <w:tbl>
      <w:tblPr>
        <w:tblStyle w:val="17"/>
        <w:tblW w:w="211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621"/>
        <w:gridCol w:w="1781"/>
        <w:gridCol w:w="977"/>
        <w:gridCol w:w="1684"/>
        <w:gridCol w:w="1379"/>
        <w:gridCol w:w="1434"/>
        <w:gridCol w:w="1362"/>
        <w:gridCol w:w="1460"/>
        <w:gridCol w:w="1307"/>
        <w:gridCol w:w="1625"/>
        <w:gridCol w:w="1329"/>
        <w:gridCol w:w="1900"/>
        <w:gridCol w:w="161"/>
        <w:gridCol w:w="696"/>
        <w:gridCol w:w="383"/>
        <w:gridCol w:w="135"/>
        <w:gridCol w:w="1329"/>
        <w:gridCol w:w="740"/>
      </w:tblGrid>
      <w:tr w14:paraId="10C01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840" w:type="dxa"/>
            <w:vMerge w:val="restart"/>
            <w:shd w:val="clear" w:color="auto" w:fill="auto"/>
            <w:textDirection w:val="tbRlV"/>
            <w:vAlign w:val="center"/>
          </w:tcPr>
          <w:p w14:paraId="7D14BB26">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  设   项   目</w:t>
            </w:r>
          </w:p>
        </w:tc>
        <w:tc>
          <w:tcPr>
            <w:tcW w:w="2402" w:type="dxa"/>
            <w:gridSpan w:val="2"/>
            <w:shd w:val="clear" w:color="auto" w:fill="auto"/>
            <w:vAlign w:val="center"/>
          </w:tcPr>
          <w:p w14:paraId="6117FC27">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项目名称</w:t>
            </w:r>
          </w:p>
        </w:tc>
        <w:tc>
          <w:tcPr>
            <w:tcW w:w="6836" w:type="dxa"/>
            <w:gridSpan w:val="5"/>
            <w:shd w:val="clear" w:color="auto" w:fill="auto"/>
            <w:vAlign w:val="center"/>
          </w:tcPr>
          <w:p w14:paraId="7878ECD9">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cs="Times New Roman" w:eastAsiaTheme="minorEastAsia"/>
                <w:b w:val="0"/>
                <w:color w:val="auto"/>
                <w:sz w:val="18"/>
                <w:szCs w:val="18"/>
                <w:lang w:val="en-US" w:eastAsia="zh-CN" w:bidi="ar-SA"/>
              </w:rPr>
            </w:pPr>
            <w:r>
              <w:rPr>
                <w:rFonts w:hint="eastAsia" w:ascii="Times New Roman" w:hAnsi="Times New Roman" w:eastAsia="微软雅黑" w:cs="Times New Roman"/>
                <w:b/>
                <w:color w:val="auto"/>
                <w:sz w:val="18"/>
                <w:szCs w:val="18"/>
                <w:lang w:val="en-US" w:eastAsia="zh-CN" w:bidi="ar-SA"/>
              </w:rPr>
              <w:t>年产1.2万吨道轨交通配件项目</w:t>
            </w:r>
            <w:r>
              <w:rPr>
                <w:rFonts w:hint="eastAsia" w:ascii="Times New Roman" w:hAnsi="Times New Roman" w:cs="Times New Roman"/>
                <w:b/>
                <w:color w:val="auto"/>
                <w:sz w:val="18"/>
                <w:szCs w:val="18"/>
                <w:lang w:val="en-US" w:eastAsia="zh-CN" w:bidi="ar-SA"/>
              </w:rPr>
              <w:t>（一期）</w:t>
            </w:r>
          </w:p>
        </w:tc>
        <w:tc>
          <w:tcPr>
            <w:tcW w:w="2767" w:type="dxa"/>
            <w:gridSpan w:val="2"/>
            <w:shd w:val="clear" w:color="auto" w:fill="auto"/>
            <w:vAlign w:val="center"/>
          </w:tcPr>
          <w:p w14:paraId="774FE1DF">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bidi="ar-SA"/>
              </w:rPr>
            </w:pPr>
            <w:r>
              <w:rPr>
                <w:rFonts w:hint="default" w:ascii="Times New Roman" w:hAnsi="Times New Roman" w:cs="Times New Roman" w:eastAsiaTheme="minorEastAsia"/>
                <w:b/>
                <w:bCs/>
                <w:color w:val="auto"/>
                <w:sz w:val="18"/>
                <w:szCs w:val="18"/>
                <w:lang w:val="en-US" w:eastAsia="zh-CN" w:bidi="ar-SA"/>
              </w:rPr>
              <w:t>项目代码</w:t>
            </w:r>
          </w:p>
        </w:tc>
        <w:tc>
          <w:tcPr>
            <w:tcW w:w="2954" w:type="dxa"/>
            <w:gridSpan w:val="2"/>
            <w:tcBorders>
              <w:right w:val="single" w:color="auto" w:sz="4" w:space="0"/>
            </w:tcBorders>
            <w:shd w:val="clear" w:color="auto" w:fill="auto"/>
            <w:vAlign w:val="center"/>
          </w:tcPr>
          <w:p w14:paraId="3BB47CCE">
            <w:pPr>
              <w:pStyle w:val="31"/>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2308-410728-04-05-200592</w:t>
            </w:r>
          </w:p>
        </w:tc>
        <w:tc>
          <w:tcPr>
            <w:tcW w:w="1900" w:type="dxa"/>
            <w:tcBorders>
              <w:left w:val="single" w:color="auto" w:sz="4" w:space="0"/>
              <w:right w:val="single" w:color="auto" w:sz="4" w:space="0"/>
            </w:tcBorders>
            <w:shd w:val="clear" w:color="auto" w:fill="auto"/>
            <w:vAlign w:val="center"/>
          </w:tcPr>
          <w:p w14:paraId="3B279D2D">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建设地点</w:t>
            </w:r>
          </w:p>
        </w:tc>
        <w:tc>
          <w:tcPr>
            <w:tcW w:w="3444" w:type="dxa"/>
            <w:gridSpan w:val="6"/>
            <w:tcBorders>
              <w:left w:val="single" w:color="auto" w:sz="4" w:space="0"/>
            </w:tcBorders>
            <w:shd w:val="clear" w:color="auto" w:fill="auto"/>
            <w:vAlign w:val="center"/>
          </w:tcPr>
          <w:p w14:paraId="462BEF60">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长垣市魏庄镇华豫大道中段88号</w:t>
            </w:r>
          </w:p>
        </w:tc>
      </w:tr>
      <w:tr w14:paraId="3DEC4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shd w:val="clear" w:color="auto" w:fill="auto"/>
            <w:vAlign w:val="center"/>
          </w:tcPr>
          <w:p w14:paraId="26E0C7B7">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14:paraId="0EAE735F">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行业类别（分类管理名录）</w:t>
            </w:r>
          </w:p>
        </w:tc>
        <w:tc>
          <w:tcPr>
            <w:tcW w:w="6836" w:type="dxa"/>
            <w:gridSpan w:val="5"/>
            <w:shd w:val="clear" w:color="auto" w:fill="auto"/>
            <w:vAlign w:val="center"/>
          </w:tcPr>
          <w:p w14:paraId="406B09F0">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C3391黑色金属铸造</w:t>
            </w:r>
          </w:p>
        </w:tc>
        <w:tc>
          <w:tcPr>
            <w:tcW w:w="2767" w:type="dxa"/>
            <w:gridSpan w:val="2"/>
            <w:shd w:val="clear" w:color="auto" w:fill="auto"/>
            <w:vAlign w:val="center"/>
          </w:tcPr>
          <w:p w14:paraId="46B01E4B">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建设性质</w:t>
            </w:r>
          </w:p>
        </w:tc>
        <w:tc>
          <w:tcPr>
            <w:tcW w:w="2954" w:type="dxa"/>
            <w:gridSpan w:val="2"/>
            <w:shd w:val="clear" w:color="auto" w:fill="auto"/>
            <w:vAlign w:val="center"/>
          </w:tcPr>
          <w:p w14:paraId="08B4B394">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r>
              <w:rPr>
                <w:rFonts w:hint="default" w:ascii="Times New Roman" w:hAnsi="Times New Roman" w:cs="Times New Roman" w:eastAsiaTheme="minorEastAsia"/>
                <w:b w:val="0"/>
                <w:color w:val="auto"/>
                <w:sz w:val="18"/>
                <w:szCs w:val="18"/>
                <w:lang w:val="en-US" w:eastAsia="zh-CN"/>
              </w:rPr>
              <w:t>新建  改扩建 □技术改造</w:t>
            </w:r>
          </w:p>
        </w:tc>
        <w:tc>
          <w:tcPr>
            <w:tcW w:w="2757" w:type="dxa"/>
            <w:gridSpan w:val="3"/>
            <w:shd w:val="clear" w:color="auto" w:fill="auto"/>
            <w:vAlign w:val="center"/>
          </w:tcPr>
          <w:p w14:paraId="6DB7A47F">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东经 114 度 28 分 28.140 秒</w:t>
            </w:r>
          </w:p>
        </w:tc>
        <w:tc>
          <w:tcPr>
            <w:tcW w:w="2587" w:type="dxa"/>
            <w:gridSpan w:val="4"/>
            <w:shd w:val="clear" w:color="auto" w:fill="auto"/>
            <w:vAlign w:val="center"/>
          </w:tcPr>
          <w:p w14:paraId="5C89FED3">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北纬 35 度 7分 8.827 秒</w:t>
            </w:r>
          </w:p>
        </w:tc>
      </w:tr>
      <w:tr w14:paraId="4CCAF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shd w:val="clear" w:color="auto" w:fill="auto"/>
            <w:vAlign w:val="center"/>
          </w:tcPr>
          <w:p w14:paraId="7800E7DD">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14:paraId="0A9917D9">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设计生产能力</w:t>
            </w:r>
          </w:p>
        </w:tc>
        <w:tc>
          <w:tcPr>
            <w:tcW w:w="6836" w:type="dxa"/>
            <w:gridSpan w:val="5"/>
            <w:shd w:val="clear" w:color="auto" w:fill="auto"/>
            <w:vAlign w:val="center"/>
          </w:tcPr>
          <w:p w14:paraId="516A91FD">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年产1.2万吨道轨交通配件</w:t>
            </w:r>
          </w:p>
        </w:tc>
        <w:tc>
          <w:tcPr>
            <w:tcW w:w="2767" w:type="dxa"/>
            <w:gridSpan w:val="2"/>
            <w:shd w:val="clear" w:color="auto" w:fill="auto"/>
            <w:vAlign w:val="center"/>
          </w:tcPr>
          <w:p w14:paraId="39C32F28">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实际生产能力</w:t>
            </w:r>
          </w:p>
        </w:tc>
        <w:tc>
          <w:tcPr>
            <w:tcW w:w="2954" w:type="dxa"/>
            <w:gridSpan w:val="2"/>
            <w:tcBorders>
              <w:right w:val="single" w:color="auto" w:sz="4" w:space="0"/>
            </w:tcBorders>
            <w:shd w:val="clear" w:color="auto" w:fill="auto"/>
            <w:vAlign w:val="center"/>
          </w:tcPr>
          <w:p w14:paraId="75694C30">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highlight w:val="none"/>
                <w:lang w:val="en-US" w:eastAsia="zh-CN"/>
              </w:rPr>
              <w:t>年产1.2万吨道轨交通配件</w:t>
            </w:r>
          </w:p>
        </w:tc>
        <w:tc>
          <w:tcPr>
            <w:tcW w:w="2061" w:type="dxa"/>
            <w:gridSpan w:val="2"/>
            <w:tcBorders>
              <w:left w:val="single" w:color="auto" w:sz="4" w:space="0"/>
              <w:right w:val="single" w:color="auto" w:sz="4" w:space="0"/>
            </w:tcBorders>
            <w:shd w:val="clear" w:color="auto" w:fill="auto"/>
            <w:vAlign w:val="center"/>
          </w:tcPr>
          <w:p w14:paraId="09045621">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环评单位</w:t>
            </w:r>
          </w:p>
        </w:tc>
        <w:tc>
          <w:tcPr>
            <w:tcW w:w="3283" w:type="dxa"/>
            <w:gridSpan w:val="5"/>
            <w:tcBorders>
              <w:left w:val="single" w:color="auto" w:sz="4" w:space="0"/>
            </w:tcBorders>
            <w:shd w:val="clear" w:color="auto" w:fill="auto"/>
            <w:vAlign w:val="center"/>
          </w:tcPr>
          <w:p w14:paraId="60C1F73C">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河南省凝博生态科技有限公司</w:t>
            </w:r>
          </w:p>
        </w:tc>
      </w:tr>
      <w:tr w14:paraId="53027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shd w:val="clear" w:color="auto" w:fill="auto"/>
            <w:vAlign w:val="center"/>
          </w:tcPr>
          <w:p w14:paraId="39CC374B">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14:paraId="637F9D5B">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环评文件审批机关</w:t>
            </w:r>
          </w:p>
        </w:tc>
        <w:tc>
          <w:tcPr>
            <w:tcW w:w="6836" w:type="dxa"/>
            <w:gridSpan w:val="5"/>
            <w:shd w:val="clear" w:color="auto" w:fill="auto"/>
            <w:vAlign w:val="center"/>
          </w:tcPr>
          <w:p w14:paraId="54FFED97">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新乡市生态环境局长垣分局</w:t>
            </w:r>
          </w:p>
        </w:tc>
        <w:tc>
          <w:tcPr>
            <w:tcW w:w="2767" w:type="dxa"/>
            <w:gridSpan w:val="2"/>
            <w:shd w:val="clear" w:color="auto" w:fill="auto"/>
            <w:vAlign w:val="center"/>
          </w:tcPr>
          <w:p w14:paraId="3EBD06AF">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审批文号</w:t>
            </w:r>
          </w:p>
        </w:tc>
        <w:tc>
          <w:tcPr>
            <w:tcW w:w="2954" w:type="dxa"/>
            <w:gridSpan w:val="2"/>
            <w:tcBorders>
              <w:right w:val="single" w:color="auto" w:sz="4" w:space="0"/>
            </w:tcBorders>
            <w:shd w:val="clear" w:color="auto" w:fill="auto"/>
            <w:vAlign w:val="center"/>
          </w:tcPr>
          <w:p w14:paraId="2395597A">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highlight w:val="none"/>
                <w:lang w:val="en-US" w:eastAsia="zh-CN" w:bidi="ar-SA"/>
              </w:rPr>
            </w:pPr>
            <w:r>
              <w:rPr>
                <w:rFonts w:hint="default" w:ascii="Times New Roman" w:hAnsi="Times New Roman" w:cs="Times New Roman" w:eastAsiaTheme="minorEastAsia"/>
                <w:b w:val="0"/>
                <w:color w:val="auto"/>
                <w:sz w:val="18"/>
                <w:szCs w:val="18"/>
                <w:highlight w:val="none"/>
                <w:lang w:val="en-US" w:eastAsia="zh-CN" w:bidi="ar-SA"/>
              </w:rPr>
              <w:t>长环审（</w:t>
            </w:r>
            <w:r>
              <w:rPr>
                <w:rFonts w:hint="eastAsia" w:ascii="Times New Roman" w:hAnsi="Times New Roman" w:cs="Times New Roman" w:eastAsiaTheme="minorEastAsia"/>
                <w:b w:val="0"/>
                <w:color w:val="auto"/>
                <w:sz w:val="18"/>
                <w:szCs w:val="18"/>
                <w:highlight w:val="none"/>
                <w:lang w:val="en-US" w:eastAsia="zh-CN" w:bidi="ar-SA"/>
              </w:rPr>
              <w:t>2023</w:t>
            </w:r>
            <w:r>
              <w:rPr>
                <w:rFonts w:hint="default" w:ascii="Times New Roman" w:hAnsi="Times New Roman" w:cs="Times New Roman" w:eastAsiaTheme="minorEastAsia"/>
                <w:b w:val="0"/>
                <w:color w:val="auto"/>
                <w:sz w:val="18"/>
                <w:szCs w:val="18"/>
                <w:highlight w:val="none"/>
                <w:lang w:val="en-US" w:eastAsia="zh-CN" w:bidi="ar-SA"/>
              </w:rPr>
              <w:t>）</w:t>
            </w:r>
            <w:r>
              <w:rPr>
                <w:rFonts w:hint="eastAsia" w:ascii="Times New Roman" w:hAnsi="Times New Roman" w:cs="Times New Roman" w:eastAsiaTheme="minorEastAsia"/>
                <w:b w:val="0"/>
                <w:color w:val="auto"/>
                <w:sz w:val="18"/>
                <w:szCs w:val="18"/>
                <w:highlight w:val="none"/>
                <w:lang w:val="en-US" w:eastAsia="zh-CN" w:bidi="ar-SA"/>
              </w:rPr>
              <w:t>70</w:t>
            </w:r>
            <w:r>
              <w:rPr>
                <w:rFonts w:hint="default" w:ascii="Times New Roman" w:hAnsi="Times New Roman" w:cs="Times New Roman" w:eastAsiaTheme="minorEastAsia"/>
                <w:b w:val="0"/>
                <w:color w:val="auto"/>
                <w:sz w:val="18"/>
                <w:szCs w:val="18"/>
                <w:highlight w:val="none"/>
                <w:lang w:val="en-US" w:eastAsia="zh-CN" w:bidi="ar-SA"/>
              </w:rPr>
              <w:t>号</w:t>
            </w:r>
          </w:p>
        </w:tc>
        <w:tc>
          <w:tcPr>
            <w:tcW w:w="2061" w:type="dxa"/>
            <w:gridSpan w:val="2"/>
            <w:tcBorders>
              <w:left w:val="single" w:color="auto" w:sz="4" w:space="0"/>
              <w:right w:val="single" w:color="auto" w:sz="4" w:space="0"/>
            </w:tcBorders>
            <w:shd w:val="clear" w:color="auto" w:fill="auto"/>
            <w:vAlign w:val="center"/>
          </w:tcPr>
          <w:p w14:paraId="1B1B0BDD">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环评文件类型</w:t>
            </w:r>
          </w:p>
        </w:tc>
        <w:tc>
          <w:tcPr>
            <w:tcW w:w="3283" w:type="dxa"/>
            <w:gridSpan w:val="5"/>
            <w:tcBorders>
              <w:left w:val="single" w:color="auto" w:sz="4" w:space="0"/>
            </w:tcBorders>
            <w:shd w:val="clear" w:color="auto" w:fill="auto"/>
            <w:vAlign w:val="center"/>
          </w:tcPr>
          <w:p w14:paraId="60138057">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eastAsiaTheme="minorEastAsia"/>
                <w:b w:val="0"/>
                <w:color w:val="auto"/>
                <w:sz w:val="18"/>
                <w:szCs w:val="18"/>
                <w:lang w:val="en-US" w:eastAsia="zh-CN"/>
              </w:rPr>
              <w:t>环评报告表</w:t>
            </w:r>
          </w:p>
        </w:tc>
      </w:tr>
      <w:tr w14:paraId="0F214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shd w:val="clear" w:color="auto" w:fill="auto"/>
            <w:vAlign w:val="center"/>
          </w:tcPr>
          <w:p w14:paraId="5AAAD321">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14:paraId="2D36A1D6">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开工日期</w:t>
            </w:r>
          </w:p>
        </w:tc>
        <w:tc>
          <w:tcPr>
            <w:tcW w:w="6836" w:type="dxa"/>
            <w:gridSpan w:val="5"/>
            <w:shd w:val="clear" w:color="auto" w:fill="auto"/>
            <w:vAlign w:val="center"/>
          </w:tcPr>
          <w:p w14:paraId="7F6765A6">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color w:val="auto"/>
                <w:sz w:val="18"/>
                <w:szCs w:val="18"/>
                <w:lang w:val="en-US" w:eastAsia="zh-CN" w:bidi="ar-SA"/>
              </w:rPr>
            </w:pPr>
            <w:r>
              <w:rPr>
                <w:rFonts w:hint="eastAsia" w:ascii="Times New Roman" w:hAnsi="Times New Roman" w:eastAsia="宋体" w:cs="Times New Roman"/>
                <w:b w:val="0"/>
                <w:bCs/>
                <w:color w:val="auto"/>
                <w:sz w:val="18"/>
                <w:szCs w:val="18"/>
                <w:lang w:val="en-US" w:eastAsia="zh-CN" w:bidi="ar-SA"/>
              </w:rPr>
              <w:t>一期：</w:t>
            </w:r>
            <w:r>
              <w:rPr>
                <w:rFonts w:hint="default" w:ascii="Times New Roman" w:hAnsi="Times New Roman" w:eastAsia="宋体" w:cs="Times New Roman"/>
                <w:b w:val="0"/>
                <w:bCs/>
                <w:color w:val="auto"/>
                <w:sz w:val="18"/>
                <w:szCs w:val="18"/>
                <w:lang w:val="en-US" w:eastAsia="zh-CN" w:bidi="ar-SA"/>
              </w:rPr>
              <w:t>20</w:t>
            </w:r>
            <w:r>
              <w:rPr>
                <w:rFonts w:hint="eastAsia" w:ascii="Times New Roman" w:hAnsi="Times New Roman" w:eastAsia="宋体" w:cs="Times New Roman"/>
                <w:b w:val="0"/>
                <w:bCs/>
                <w:color w:val="auto"/>
                <w:sz w:val="18"/>
                <w:szCs w:val="18"/>
                <w:lang w:val="en-US" w:eastAsia="zh-CN" w:bidi="ar-SA"/>
              </w:rPr>
              <w:t>23</w:t>
            </w:r>
            <w:r>
              <w:rPr>
                <w:rFonts w:hint="default" w:ascii="Times New Roman" w:hAnsi="Times New Roman" w:eastAsia="宋体" w:cs="Times New Roman"/>
                <w:b w:val="0"/>
                <w:bCs/>
                <w:color w:val="auto"/>
                <w:sz w:val="18"/>
                <w:szCs w:val="18"/>
                <w:lang w:val="en-US" w:eastAsia="zh-CN" w:bidi="ar-SA"/>
              </w:rPr>
              <w:t>年</w:t>
            </w:r>
            <w:r>
              <w:rPr>
                <w:rFonts w:hint="eastAsia" w:ascii="Times New Roman" w:hAnsi="Times New Roman" w:eastAsia="宋体" w:cs="Times New Roman"/>
                <w:b w:val="0"/>
                <w:bCs/>
                <w:color w:val="auto"/>
                <w:sz w:val="18"/>
                <w:szCs w:val="18"/>
                <w:lang w:val="en-US" w:eastAsia="zh-CN" w:bidi="ar-SA"/>
              </w:rPr>
              <w:t>12</w:t>
            </w:r>
            <w:r>
              <w:rPr>
                <w:rFonts w:hint="default" w:ascii="Times New Roman" w:hAnsi="Times New Roman" w:eastAsia="宋体" w:cs="Times New Roman"/>
                <w:b w:val="0"/>
                <w:bCs/>
                <w:color w:val="auto"/>
                <w:sz w:val="18"/>
                <w:szCs w:val="18"/>
                <w:lang w:val="en-US" w:eastAsia="zh-CN" w:bidi="ar-SA"/>
              </w:rPr>
              <w:t>月</w:t>
            </w:r>
          </w:p>
        </w:tc>
        <w:tc>
          <w:tcPr>
            <w:tcW w:w="2767" w:type="dxa"/>
            <w:gridSpan w:val="2"/>
            <w:shd w:val="clear" w:color="auto" w:fill="auto"/>
            <w:vAlign w:val="center"/>
          </w:tcPr>
          <w:p w14:paraId="60686848">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竣工日期</w:t>
            </w:r>
          </w:p>
        </w:tc>
        <w:tc>
          <w:tcPr>
            <w:tcW w:w="2954" w:type="dxa"/>
            <w:gridSpan w:val="2"/>
            <w:shd w:val="clear" w:color="auto" w:fill="auto"/>
            <w:vAlign w:val="center"/>
          </w:tcPr>
          <w:p w14:paraId="632A0728">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highlight w:val="none"/>
                <w:lang w:val="en-US" w:eastAsia="zh-CN" w:bidi="ar-SA"/>
              </w:rPr>
            </w:pPr>
            <w:r>
              <w:rPr>
                <w:rFonts w:hint="eastAsia" w:ascii="Times New Roman" w:hAnsi="Times New Roman" w:cs="Times New Roman" w:eastAsiaTheme="minorEastAsia"/>
                <w:b w:val="0"/>
                <w:color w:val="auto"/>
                <w:sz w:val="18"/>
                <w:szCs w:val="18"/>
                <w:highlight w:val="none"/>
                <w:lang w:val="en-US" w:eastAsia="zh-CN" w:bidi="ar-SA"/>
              </w:rPr>
              <w:t>一期：</w:t>
            </w:r>
            <w:r>
              <w:rPr>
                <w:rFonts w:hint="default" w:ascii="Times New Roman" w:hAnsi="Times New Roman" w:cs="Times New Roman" w:eastAsiaTheme="minorEastAsia"/>
                <w:b w:val="0"/>
                <w:color w:val="auto"/>
                <w:sz w:val="18"/>
                <w:szCs w:val="18"/>
                <w:highlight w:val="none"/>
                <w:lang w:val="en-US" w:eastAsia="zh-CN" w:bidi="ar-SA"/>
              </w:rPr>
              <w:t>20</w:t>
            </w:r>
            <w:r>
              <w:rPr>
                <w:rFonts w:hint="eastAsia" w:ascii="Times New Roman" w:hAnsi="Times New Roman" w:cs="Times New Roman" w:eastAsiaTheme="minorEastAsia"/>
                <w:b w:val="0"/>
                <w:color w:val="auto"/>
                <w:sz w:val="18"/>
                <w:szCs w:val="18"/>
                <w:highlight w:val="none"/>
                <w:lang w:val="en-US" w:eastAsia="zh-CN" w:bidi="ar-SA"/>
              </w:rPr>
              <w:t>24</w:t>
            </w:r>
            <w:r>
              <w:rPr>
                <w:rFonts w:hint="default" w:ascii="Times New Roman" w:hAnsi="Times New Roman" w:cs="Times New Roman" w:eastAsiaTheme="minorEastAsia"/>
                <w:b w:val="0"/>
                <w:color w:val="auto"/>
                <w:sz w:val="18"/>
                <w:szCs w:val="18"/>
                <w:highlight w:val="none"/>
                <w:lang w:val="en-US" w:eastAsia="zh-CN" w:bidi="ar-SA"/>
              </w:rPr>
              <w:t>年</w:t>
            </w:r>
            <w:r>
              <w:rPr>
                <w:rFonts w:hint="eastAsia" w:ascii="Times New Roman" w:hAnsi="Times New Roman" w:cs="Times New Roman" w:eastAsiaTheme="minorEastAsia"/>
                <w:b w:val="0"/>
                <w:color w:val="auto"/>
                <w:sz w:val="18"/>
                <w:szCs w:val="18"/>
                <w:highlight w:val="none"/>
                <w:lang w:val="en-US" w:eastAsia="zh-CN" w:bidi="ar-SA"/>
              </w:rPr>
              <w:t>12</w:t>
            </w:r>
            <w:r>
              <w:rPr>
                <w:rFonts w:hint="default" w:ascii="Times New Roman" w:hAnsi="Times New Roman" w:cs="Times New Roman" w:eastAsiaTheme="minorEastAsia"/>
                <w:b w:val="0"/>
                <w:color w:val="auto"/>
                <w:sz w:val="18"/>
                <w:szCs w:val="18"/>
                <w:highlight w:val="none"/>
                <w:lang w:val="en-US" w:eastAsia="zh-CN" w:bidi="ar-SA"/>
              </w:rPr>
              <w:t>月</w:t>
            </w:r>
          </w:p>
        </w:tc>
        <w:tc>
          <w:tcPr>
            <w:tcW w:w="2061" w:type="dxa"/>
            <w:gridSpan w:val="2"/>
            <w:tcBorders>
              <w:right w:val="single" w:color="auto" w:sz="4" w:space="0"/>
            </w:tcBorders>
            <w:shd w:val="clear" w:color="auto" w:fill="auto"/>
            <w:vAlign w:val="center"/>
          </w:tcPr>
          <w:p w14:paraId="289FF90C">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排污许可证申领时间</w:t>
            </w:r>
          </w:p>
        </w:tc>
        <w:tc>
          <w:tcPr>
            <w:tcW w:w="3283" w:type="dxa"/>
            <w:gridSpan w:val="5"/>
            <w:tcBorders>
              <w:left w:val="single" w:color="auto" w:sz="4" w:space="0"/>
            </w:tcBorders>
            <w:shd w:val="clear" w:color="auto" w:fill="auto"/>
            <w:vAlign w:val="center"/>
          </w:tcPr>
          <w:p w14:paraId="5F81D109">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2025年1月13日</w:t>
            </w:r>
          </w:p>
        </w:tc>
      </w:tr>
      <w:tr w14:paraId="1E63C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4" w:hRule="atLeast"/>
        </w:trPr>
        <w:tc>
          <w:tcPr>
            <w:tcW w:w="840" w:type="dxa"/>
            <w:vMerge w:val="continue"/>
            <w:shd w:val="clear" w:color="auto" w:fill="auto"/>
            <w:vAlign w:val="center"/>
          </w:tcPr>
          <w:p w14:paraId="2FFA6EEE">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14:paraId="0DA9DF10">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环保设施设计单位</w:t>
            </w:r>
          </w:p>
        </w:tc>
        <w:tc>
          <w:tcPr>
            <w:tcW w:w="6836" w:type="dxa"/>
            <w:gridSpan w:val="5"/>
            <w:shd w:val="clear" w:color="auto" w:fill="auto"/>
            <w:vAlign w:val="center"/>
          </w:tcPr>
          <w:p w14:paraId="304F946E">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color w:val="auto"/>
                <w:sz w:val="18"/>
                <w:szCs w:val="18"/>
                <w:lang w:val="en-US" w:eastAsia="zh-CN" w:bidi="ar-SA"/>
              </w:rPr>
            </w:pPr>
            <w:r>
              <w:rPr>
                <w:rFonts w:hint="default" w:ascii="Times New Roman" w:hAnsi="Times New Roman" w:eastAsia="宋体" w:cs="Times New Roman"/>
                <w:b w:val="0"/>
                <w:bCs/>
                <w:color w:val="auto"/>
                <w:sz w:val="18"/>
                <w:szCs w:val="18"/>
                <w:lang w:val="en-US" w:eastAsia="zh-CN" w:bidi="ar-SA"/>
              </w:rPr>
              <w:t>/</w:t>
            </w:r>
          </w:p>
        </w:tc>
        <w:tc>
          <w:tcPr>
            <w:tcW w:w="2767" w:type="dxa"/>
            <w:gridSpan w:val="2"/>
            <w:tcBorders>
              <w:bottom w:val="single" w:color="auto" w:sz="4" w:space="0"/>
            </w:tcBorders>
            <w:shd w:val="clear" w:color="auto" w:fill="auto"/>
            <w:vAlign w:val="center"/>
          </w:tcPr>
          <w:p w14:paraId="052C78C5">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环保设施施工单位</w:t>
            </w:r>
          </w:p>
        </w:tc>
        <w:tc>
          <w:tcPr>
            <w:tcW w:w="2954" w:type="dxa"/>
            <w:gridSpan w:val="2"/>
            <w:shd w:val="clear" w:color="auto" w:fill="auto"/>
            <w:vAlign w:val="center"/>
          </w:tcPr>
          <w:p w14:paraId="2B32D31C">
            <w:pPr>
              <w:pStyle w:val="31"/>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color w:val="auto"/>
                <w:sz w:val="18"/>
                <w:szCs w:val="18"/>
                <w:highlight w:val="none"/>
                <w:lang w:val="en-US" w:eastAsia="zh-CN" w:bidi="ar-SA"/>
              </w:rPr>
            </w:pPr>
            <w:r>
              <w:rPr>
                <w:rFonts w:hint="eastAsia" w:ascii="Times New Roman" w:hAnsi="Times New Roman" w:cs="Times New Roman" w:eastAsiaTheme="minorEastAsia"/>
                <w:b w:val="0"/>
                <w:color w:val="auto"/>
                <w:sz w:val="18"/>
                <w:szCs w:val="18"/>
                <w:highlight w:val="none"/>
                <w:lang w:val="en-US" w:eastAsia="zh-CN" w:bidi="ar-SA"/>
              </w:rPr>
              <w:t>/</w:t>
            </w:r>
          </w:p>
        </w:tc>
        <w:tc>
          <w:tcPr>
            <w:tcW w:w="2061" w:type="dxa"/>
            <w:gridSpan w:val="2"/>
            <w:shd w:val="clear" w:color="auto" w:fill="auto"/>
            <w:vAlign w:val="center"/>
          </w:tcPr>
          <w:p w14:paraId="383893DB">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本工程排污许可证编号</w:t>
            </w:r>
          </w:p>
        </w:tc>
        <w:tc>
          <w:tcPr>
            <w:tcW w:w="3283" w:type="dxa"/>
            <w:gridSpan w:val="5"/>
            <w:shd w:val="clear" w:color="auto" w:fill="auto"/>
            <w:vAlign w:val="center"/>
          </w:tcPr>
          <w:p w14:paraId="55E0172B">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91410728692195098T001Z</w:t>
            </w:r>
          </w:p>
        </w:tc>
      </w:tr>
      <w:tr w14:paraId="549B1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shd w:val="clear" w:color="auto" w:fill="auto"/>
            <w:vAlign w:val="center"/>
          </w:tcPr>
          <w:p w14:paraId="76C13531">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14:paraId="6A8B222C">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验收单位</w:t>
            </w:r>
          </w:p>
        </w:tc>
        <w:tc>
          <w:tcPr>
            <w:tcW w:w="6836" w:type="dxa"/>
            <w:gridSpan w:val="5"/>
            <w:shd w:val="clear" w:color="auto" w:fill="auto"/>
            <w:vAlign w:val="center"/>
          </w:tcPr>
          <w:p w14:paraId="4EC2E47E">
            <w:pPr>
              <w:pStyle w:val="31"/>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宋体" w:cs="Times New Roman"/>
                <w:b w:val="0"/>
                <w:bCs/>
                <w:color w:val="auto"/>
                <w:sz w:val="18"/>
                <w:szCs w:val="18"/>
                <w:lang w:val="en-US" w:eastAsia="zh-CN" w:bidi="ar-SA"/>
              </w:rPr>
            </w:pPr>
            <w:r>
              <w:rPr>
                <w:rFonts w:hint="eastAsia" w:ascii="Times New Roman" w:hAnsi="Times New Roman" w:eastAsia="宋体" w:cs="Times New Roman"/>
                <w:b w:val="0"/>
                <w:bCs/>
                <w:color w:val="auto"/>
                <w:sz w:val="18"/>
                <w:szCs w:val="18"/>
                <w:lang w:val="en-US" w:eastAsia="zh-CN" w:bidi="ar-SA"/>
              </w:rPr>
              <w:t>新乡市科博特起重机械有限公司</w:t>
            </w:r>
          </w:p>
        </w:tc>
        <w:tc>
          <w:tcPr>
            <w:tcW w:w="2767" w:type="dxa"/>
            <w:gridSpan w:val="2"/>
            <w:tcBorders>
              <w:bottom w:val="single" w:color="auto" w:sz="4" w:space="0"/>
            </w:tcBorders>
            <w:shd w:val="clear" w:color="auto" w:fill="auto"/>
            <w:vAlign w:val="center"/>
          </w:tcPr>
          <w:p w14:paraId="6673E1AC">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环保设施监测单位</w:t>
            </w:r>
          </w:p>
        </w:tc>
        <w:tc>
          <w:tcPr>
            <w:tcW w:w="2954" w:type="dxa"/>
            <w:gridSpan w:val="2"/>
            <w:shd w:val="clear" w:color="auto" w:fill="auto"/>
            <w:vAlign w:val="center"/>
          </w:tcPr>
          <w:p w14:paraId="5C14A756">
            <w:pPr>
              <w:keepNext w:val="0"/>
              <w:keepLines w:val="0"/>
              <w:pageBreakBefore w:val="0"/>
              <w:widowControl/>
              <w:kinsoku/>
              <w:wordWrap/>
              <w:overflowPunct/>
              <w:topLinePunct w:val="0"/>
              <w:autoSpaceDE/>
              <w:autoSpaceDN/>
              <w:bidi w:val="0"/>
              <w:adjustRightInd w:val="0"/>
              <w:snapToGrid w:val="0"/>
              <w:spacing w:after="0" w:line="240" w:lineRule="auto"/>
              <w:textAlignment w:val="auto"/>
              <w:outlineLvl w:val="0"/>
              <w:rPr>
                <w:rFonts w:hint="default" w:ascii="Times New Roman" w:hAnsi="Times New Roman" w:cs="Times New Roman" w:eastAsiaTheme="minorEastAsia"/>
                <w:b w:val="0"/>
                <w:color w:val="auto"/>
                <w:sz w:val="18"/>
                <w:szCs w:val="18"/>
                <w:highlight w:val="none"/>
                <w:lang w:val="en-US" w:eastAsia="zh-CN" w:bidi="ar-SA"/>
              </w:rPr>
            </w:pPr>
            <w:r>
              <w:rPr>
                <w:rFonts w:hint="eastAsia" w:ascii="Times New Roman" w:hAnsi="Times New Roman" w:cs="Times New Roman" w:eastAsiaTheme="minorEastAsia"/>
                <w:b w:val="0"/>
                <w:color w:val="auto"/>
                <w:sz w:val="18"/>
                <w:szCs w:val="18"/>
                <w:highlight w:val="none"/>
                <w:lang w:val="en-US" w:eastAsia="zh-CN" w:bidi="ar-SA"/>
              </w:rPr>
              <w:t>河南中碳应用监测技术有限公司</w:t>
            </w:r>
          </w:p>
        </w:tc>
        <w:tc>
          <w:tcPr>
            <w:tcW w:w="2061" w:type="dxa"/>
            <w:gridSpan w:val="2"/>
            <w:shd w:val="clear" w:color="auto" w:fill="auto"/>
            <w:vAlign w:val="center"/>
          </w:tcPr>
          <w:p w14:paraId="3D2F69D2">
            <w:pPr>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微软雅黑" w:cs="Times New Roman"/>
                <w:b/>
                <w:color w:val="auto"/>
                <w:sz w:val="18"/>
                <w:szCs w:val="18"/>
                <w:highlight w:val="none"/>
                <w:lang w:val="en-US" w:eastAsia="zh-CN" w:bidi="ar-SA"/>
              </w:rPr>
            </w:pPr>
            <w:r>
              <w:rPr>
                <w:rFonts w:hint="default" w:ascii="Times New Roman" w:hAnsi="Times New Roman" w:eastAsia="微软雅黑" w:cs="Times New Roman"/>
                <w:b/>
                <w:color w:val="auto"/>
                <w:sz w:val="18"/>
                <w:szCs w:val="18"/>
                <w:highlight w:val="none"/>
                <w:lang w:val="en-US" w:eastAsia="zh-CN" w:bidi="ar-SA"/>
              </w:rPr>
              <w:t>验收监测时工况</w:t>
            </w:r>
          </w:p>
        </w:tc>
        <w:tc>
          <w:tcPr>
            <w:tcW w:w="3283" w:type="dxa"/>
            <w:gridSpan w:val="5"/>
            <w:shd w:val="clear" w:color="auto" w:fill="auto"/>
            <w:vAlign w:val="center"/>
          </w:tcPr>
          <w:p w14:paraId="386E9C9A">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w:t>
            </w:r>
          </w:p>
        </w:tc>
      </w:tr>
      <w:tr w14:paraId="03272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shd w:val="clear" w:color="auto" w:fill="auto"/>
            <w:vAlign w:val="center"/>
          </w:tcPr>
          <w:p w14:paraId="183DF311">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14:paraId="0676608F">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投资总概算（万元）</w:t>
            </w:r>
          </w:p>
        </w:tc>
        <w:tc>
          <w:tcPr>
            <w:tcW w:w="6836" w:type="dxa"/>
            <w:gridSpan w:val="5"/>
            <w:shd w:val="clear" w:color="auto" w:fill="auto"/>
            <w:vAlign w:val="center"/>
          </w:tcPr>
          <w:p w14:paraId="799612EF">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b w:val="0"/>
                <w:bCs/>
                <w:color w:val="auto"/>
                <w:sz w:val="18"/>
                <w:szCs w:val="18"/>
                <w:lang w:val="en-US" w:eastAsia="zh-CN" w:bidi="ar-SA"/>
              </w:rPr>
            </w:pPr>
            <w:r>
              <w:rPr>
                <w:rFonts w:hint="eastAsia" w:ascii="Times New Roman" w:hAnsi="Times New Roman" w:eastAsia="宋体" w:cs="Times New Roman"/>
                <w:b w:val="0"/>
                <w:bCs/>
                <w:color w:val="auto"/>
                <w:sz w:val="18"/>
                <w:szCs w:val="18"/>
                <w:lang w:val="en-US" w:eastAsia="zh-CN" w:bidi="ar-SA"/>
              </w:rPr>
              <w:t>200</w:t>
            </w:r>
          </w:p>
        </w:tc>
        <w:tc>
          <w:tcPr>
            <w:tcW w:w="2767" w:type="dxa"/>
            <w:gridSpan w:val="2"/>
            <w:shd w:val="clear" w:color="auto" w:fill="auto"/>
            <w:vAlign w:val="center"/>
          </w:tcPr>
          <w:p w14:paraId="5EB8703A">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环保投资总概算（万元）</w:t>
            </w:r>
          </w:p>
        </w:tc>
        <w:tc>
          <w:tcPr>
            <w:tcW w:w="2954" w:type="dxa"/>
            <w:gridSpan w:val="2"/>
            <w:shd w:val="clear" w:color="auto" w:fill="auto"/>
            <w:vAlign w:val="center"/>
          </w:tcPr>
          <w:p w14:paraId="723ABF68">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20</w:t>
            </w:r>
          </w:p>
        </w:tc>
        <w:tc>
          <w:tcPr>
            <w:tcW w:w="2061" w:type="dxa"/>
            <w:gridSpan w:val="2"/>
            <w:shd w:val="clear" w:color="auto" w:fill="auto"/>
            <w:vAlign w:val="center"/>
          </w:tcPr>
          <w:p w14:paraId="1361A3A2">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所占比例（%）</w:t>
            </w:r>
          </w:p>
        </w:tc>
        <w:tc>
          <w:tcPr>
            <w:tcW w:w="3283" w:type="dxa"/>
            <w:gridSpan w:val="5"/>
            <w:shd w:val="clear" w:color="auto" w:fill="auto"/>
            <w:vAlign w:val="center"/>
          </w:tcPr>
          <w:p w14:paraId="52DAB118">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10%</w:t>
            </w:r>
          </w:p>
        </w:tc>
      </w:tr>
      <w:tr w14:paraId="65A7B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8" w:hRule="atLeast"/>
        </w:trPr>
        <w:tc>
          <w:tcPr>
            <w:tcW w:w="840" w:type="dxa"/>
            <w:vMerge w:val="continue"/>
            <w:shd w:val="clear" w:color="auto" w:fill="auto"/>
            <w:vAlign w:val="center"/>
          </w:tcPr>
          <w:p w14:paraId="1E2A8950">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14:paraId="73F737A8">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eastAsia" w:ascii="Times New Roman" w:hAnsi="Times New Roman" w:cs="Times New Roman"/>
                <w:color w:val="auto"/>
                <w:sz w:val="18"/>
                <w:szCs w:val="18"/>
                <w:lang w:val="en-US" w:eastAsia="zh-CN"/>
              </w:rPr>
              <w:t>一期</w:t>
            </w:r>
            <w:r>
              <w:rPr>
                <w:rFonts w:hint="default" w:ascii="Times New Roman" w:hAnsi="Times New Roman" w:cs="Times New Roman"/>
                <w:color w:val="auto"/>
                <w:sz w:val="18"/>
                <w:szCs w:val="18"/>
              </w:rPr>
              <w:t>总投资</w:t>
            </w:r>
          </w:p>
        </w:tc>
        <w:tc>
          <w:tcPr>
            <w:tcW w:w="6836" w:type="dxa"/>
            <w:gridSpan w:val="5"/>
            <w:tcBorders>
              <w:bottom w:val="single" w:color="auto" w:sz="4" w:space="0"/>
            </w:tcBorders>
            <w:shd w:val="clear" w:color="auto" w:fill="auto"/>
            <w:vAlign w:val="center"/>
          </w:tcPr>
          <w:p w14:paraId="1D3B11FE">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highlight w:val="none"/>
                <w:lang w:val="en-US" w:eastAsia="zh-CN"/>
              </w:rPr>
            </w:pPr>
            <w:r>
              <w:rPr>
                <w:rFonts w:hint="eastAsia" w:ascii="Times New Roman" w:hAnsi="Times New Roman" w:cs="Times New Roman" w:eastAsiaTheme="minorEastAsia"/>
                <w:b w:val="0"/>
                <w:color w:val="auto"/>
                <w:sz w:val="18"/>
                <w:szCs w:val="18"/>
                <w:highlight w:val="none"/>
                <w:lang w:val="en-US" w:eastAsia="zh-CN"/>
              </w:rPr>
              <w:t>150</w:t>
            </w:r>
          </w:p>
        </w:tc>
        <w:tc>
          <w:tcPr>
            <w:tcW w:w="2767" w:type="dxa"/>
            <w:gridSpan w:val="2"/>
            <w:tcBorders>
              <w:top w:val="single" w:color="auto" w:sz="4" w:space="0"/>
              <w:bottom w:val="single" w:color="auto" w:sz="4" w:space="0"/>
            </w:tcBorders>
            <w:shd w:val="clear" w:color="auto" w:fill="auto"/>
            <w:vAlign w:val="center"/>
          </w:tcPr>
          <w:p w14:paraId="69FCD70B">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环保投资（万元）*</w:t>
            </w:r>
          </w:p>
        </w:tc>
        <w:tc>
          <w:tcPr>
            <w:tcW w:w="2954" w:type="dxa"/>
            <w:gridSpan w:val="2"/>
            <w:tcBorders>
              <w:bottom w:val="single" w:color="auto" w:sz="4" w:space="0"/>
            </w:tcBorders>
            <w:shd w:val="clear" w:color="auto" w:fill="auto"/>
            <w:vAlign w:val="center"/>
          </w:tcPr>
          <w:p w14:paraId="57A0435F">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15</w:t>
            </w:r>
          </w:p>
        </w:tc>
        <w:tc>
          <w:tcPr>
            <w:tcW w:w="2061" w:type="dxa"/>
            <w:gridSpan w:val="2"/>
            <w:tcBorders>
              <w:bottom w:val="single" w:color="auto" w:sz="4" w:space="0"/>
            </w:tcBorders>
            <w:shd w:val="clear" w:color="auto" w:fill="auto"/>
            <w:vAlign w:val="center"/>
          </w:tcPr>
          <w:p w14:paraId="0F4AA0C7">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highlight w:val="none"/>
              </w:rPr>
            </w:pPr>
            <w:r>
              <w:rPr>
                <w:rFonts w:hint="default" w:ascii="Times New Roman" w:hAnsi="Times New Roman" w:cs="Times New Roman"/>
                <w:color w:val="auto"/>
                <w:sz w:val="18"/>
                <w:szCs w:val="18"/>
                <w:highlight w:val="none"/>
              </w:rPr>
              <w:t>所占比例（%）</w:t>
            </w:r>
          </w:p>
        </w:tc>
        <w:tc>
          <w:tcPr>
            <w:tcW w:w="3283" w:type="dxa"/>
            <w:gridSpan w:val="5"/>
            <w:tcBorders>
              <w:bottom w:val="single" w:color="auto" w:sz="4" w:space="0"/>
            </w:tcBorders>
            <w:shd w:val="clear" w:color="auto" w:fill="auto"/>
            <w:vAlign w:val="center"/>
          </w:tcPr>
          <w:p w14:paraId="11F514DD">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10</w:t>
            </w:r>
          </w:p>
        </w:tc>
      </w:tr>
      <w:tr w14:paraId="0DCB1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shd w:val="clear" w:color="auto" w:fill="auto"/>
            <w:vAlign w:val="center"/>
          </w:tcPr>
          <w:p w14:paraId="15866DE6">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shd w:val="clear" w:color="auto" w:fill="auto"/>
            <w:vAlign w:val="center"/>
          </w:tcPr>
          <w:p w14:paraId="5EC8E459">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废水治理（万元）</w:t>
            </w:r>
          </w:p>
        </w:tc>
        <w:tc>
          <w:tcPr>
            <w:tcW w:w="977" w:type="dxa"/>
            <w:tcBorders>
              <w:right w:val="single" w:color="auto" w:sz="4" w:space="0"/>
            </w:tcBorders>
            <w:shd w:val="clear" w:color="auto" w:fill="auto"/>
            <w:vAlign w:val="center"/>
          </w:tcPr>
          <w:p w14:paraId="55AD622F">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1</w:t>
            </w:r>
          </w:p>
        </w:tc>
        <w:tc>
          <w:tcPr>
            <w:tcW w:w="1684" w:type="dxa"/>
            <w:tcBorders>
              <w:left w:val="single" w:color="auto" w:sz="4" w:space="0"/>
              <w:right w:val="single" w:color="auto" w:sz="4" w:space="0"/>
            </w:tcBorders>
            <w:shd w:val="clear" w:color="auto" w:fill="auto"/>
            <w:vAlign w:val="center"/>
          </w:tcPr>
          <w:p w14:paraId="7A32E5D9">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废气治理（万元）</w:t>
            </w:r>
          </w:p>
        </w:tc>
        <w:tc>
          <w:tcPr>
            <w:tcW w:w="1379" w:type="dxa"/>
            <w:tcBorders>
              <w:left w:val="single" w:color="auto" w:sz="4" w:space="0"/>
              <w:right w:val="single" w:color="auto" w:sz="4" w:space="0"/>
            </w:tcBorders>
            <w:shd w:val="clear" w:color="auto" w:fill="auto"/>
            <w:vAlign w:val="center"/>
          </w:tcPr>
          <w:p w14:paraId="1AAE4AFD">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bCs/>
                <w:color w:val="auto"/>
                <w:sz w:val="18"/>
                <w:szCs w:val="18"/>
                <w:lang w:val="en-US" w:eastAsia="zh-CN"/>
              </w:rPr>
              <w:t>12</w:t>
            </w:r>
          </w:p>
        </w:tc>
        <w:tc>
          <w:tcPr>
            <w:tcW w:w="1434" w:type="dxa"/>
            <w:tcBorders>
              <w:left w:val="single" w:color="auto" w:sz="4" w:space="0"/>
              <w:right w:val="single" w:color="auto" w:sz="4" w:space="0"/>
            </w:tcBorders>
            <w:shd w:val="clear" w:color="auto" w:fill="auto"/>
            <w:vAlign w:val="center"/>
          </w:tcPr>
          <w:p w14:paraId="79B0C582">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噪声治理(万元)</w:t>
            </w:r>
          </w:p>
        </w:tc>
        <w:tc>
          <w:tcPr>
            <w:tcW w:w="1362" w:type="dxa"/>
            <w:tcBorders>
              <w:left w:val="single" w:color="auto" w:sz="4" w:space="0"/>
              <w:right w:val="single" w:color="auto" w:sz="4" w:space="0"/>
            </w:tcBorders>
            <w:shd w:val="clear" w:color="auto" w:fill="auto"/>
            <w:vAlign w:val="center"/>
          </w:tcPr>
          <w:p w14:paraId="71F6A281">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eastAsiaTheme="minorEastAsia"/>
                <w:b w:val="0"/>
                <w:color w:val="auto"/>
                <w:sz w:val="18"/>
                <w:szCs w:val="18"/>
                <w:lang w:val="en-US" w:eastAsia="zh-CN"/>
              </w:rPr>
              <w:t>1</w:t>
            </w:r>
          </w:p>
        </w:tc>
        <w:tc>
          <w:tcPr>
            <w:tcW w:w="2767" w:type="dxa"/>
            <w:gridSpan w:val="2"/>
            <w:tcBorders>
              <w:left w:val="single" w:color="auto" w:sz="4" w:space="0"/>
              <w:right w:val="single" w:color="auto" w:sz="4" w:space="0"/>
            </w:tcBorders>
            <w:shd w:val="clear" w:color="auto" w:fill="auto"/>
            <w:vAlign w:val="center"/>
          </w:tcPr>
          <w:p w14:paraId="63D548A0">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固废治理(万元)</w:t>
            </w:r>
          </w:p>
        </w:tc>
        <w:tc>
          <w:tcPr>
            <w:tcW w:w="2954" w:type="dxa"/>
            <w:gridSpan w:val="2"/>
            <w:tcBorders>
              <w:left w:val="single" w:color="auto" w:sz="4" w:space="0"/>
              <w:right w:val="single" w:color="auto" w:sz="4" w:space="0"/>
            </w:tcBorders>
            <w:shd w:val="clear" w:color="auto" w:fill="auto"/>
            <w:vAlign w:val="center"/>
          </w:tcPr>
          <w:p w14:paraId="4CF18866">
            <w:pPr>
              <w:pStyle w:val="31"/>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val="0"/>
                <w:bCs/>
                <w:color w:val="auto"/>
                <w:sz w:val="18"/>
                <w:szCs w:val="18"/>
                <w:lang w:val="en-US" w:eastAsia="zh-CN"/>
              </w:rPr>
            </w:pPr>
            <w:r>
              <w:rPr>
                <w:rFonts w:hint="eastAsia" w:ascii="Times New Roman" w:hAnsi="Times New Roman" w:cs="Times New Roman" w:eastAsiaTheme="minorEastAsia"/>
                <w:b w:val="0"/>
                <w:bCs/>
                <w:color w:val="auto"/>
                <w:sz w:val="18"/>
                <w:szCs w:val="18"/>
                <w:lang w:val="en-US" w:eastAsia="zh-CN"/>
              </w:rPr>
              <w:t>1</w:t>
            </w:r>
          </w:p>
        </w:tc>
        <w:tc>
          <w:tcPr>
            <w:tcW w:w="2061" w:type="dxa"/>
            <w:gridSpan w:val="2"/>
            <w:tcBorders>
              <w:left w:val="single" w:color="auto" w:sz="4" w:space="0"/>
              <w:right w:val="single" w:color="auto" w:sz="4" w:space="0"/>
            </w:tcBorders>
            <w:shd w:val="clear" w:color="auto" w:fill="auto"/>
            <w:vAlign w:val="center"/>
          </w:tcPr>
          <w:p w14:paraId="397B92DF">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绿化及生态(万元)</w:t>
            </w:r>
          </w:p>
        </w:tc>
        <w:tc>
          <w:tcPr>
            <w:tcW w:w="1214" w:type="dxa"/>
            <w:gridSpan w:val="3"/>
            <w:tcBorders>
              <w:left w:val="single" w:color="auto" w:sz="4" w:space="0"/>
            </w:tcBorders>
            <w:shd w:val="clear" w:color="auto" w:fill="auto"/>
            <w:vAlign w:val="center"/>
          </w:tcPr>
          <w:p w14:paraId="745F984E">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default" w:ascii="Times New Roman" w:hAnsi="Times New Roman" w:cs="Times New Roman"/>
                <w:b w:val="0"/>
                <w:color w:val="auto"/>
                <w:sz w:val="18"/>
                <w:szCs w:val="18"/>
                <w:lang w:val="en-US" w:eastAsia="zh-CN"/>
              </w:rPr>
              <w:t>/</w:t>
            </w:r>
          </w:p>
        </w:tc>
        <w:tc>
          <w:tcPr>
            <w:tcW w:w="1329" w:type="dxa"/>
            <w:tcBorders>
              <w:left w:val="single" w:color="auto" w:sz="4" w:space="0"/>
            </w:tcBorders>
            <w:shd w:val="clear" w:color="auto" w:fill="auto"/>
            <w:vAlign w:val="center"/>
          </w:tcPr>
          <w:p w14:paraId="3E87916C">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其他（万元）</w:t>
            </w:r>
          </w:p>
        </w:tc>
        <w:tc>
          <w:tcPr>
            <w:tcW w:w="740" w:type="dxa"/>
            <w:tcBorders>
              <w:left w:val="single" w:color="auto" w:sz="4" w:space="0"/>
            </w:tcBorders>
            <w:shd w:val="clear" w:color="auto" w:fill="auto"/>
            <w:vAlign w:val="center"/>
          </w:tcPr>
          <w:p w14:paraId="6A47492B">
            <w:pPr>
              <w:pStyle w:val="31"/>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eastAsia="zh-CN"/>
              </w:rPr>
            </w:pPr>
            <w:r>
              <w:rPr>
                <w:rFonts w:hint="eastAsia" w:ascii="Times New Roman" w:hAnsi="Times New Roman" w:cs="Times New Roman" w:eastAsiaTheme="minorEastAsia"/>
                <w:b w:val="0"/>
                <w:color w:val="auto"/>
                <w:sz w:val="18"/>
                <w:szCs w:val="18"/>
                <w:lang w:val="en-US" w:eastAsia="zh-CN"/>
              </w:rPr>
              <w:t>/</w:t>
            </w:r>
          </w:p>
        </w:tc>
      </w:tr>
      <w:tr w14:paraId="42A95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8" w:hRule="atLeast"/>
        </w:trPr>
        <w:tc>
          <w:tcPr>
            <w:tcW w:w="840" w:type="dxa"/>
            <w:vMerge w:val="continue"/>
            <w:tcBorders>
              <w:bottom w:val="single" w:color="auto" w:sz="4" w:space="0"/>
            </w:tcBorders>
            <w:shd w:val="clear" w:color="auto" w:fill="auto"/>
            <w:vAlign w:val="center"/>
          </w:tcPr>
          <w:p w14:paraId="1A1B88C6">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2402" w:type="dxa"/>
            <w:gridSpan w:val="2"/>
            <w:tcBorders>
              <w:bottom w:val="single" w:color="auto" w:sz="4" w:space="0"/>
            </w:tcBorders>
            <w:shd w:val="clear" w:color="auto" w:fill="auto"/>
            <w:vAlign w:val="center"/>
          </w:tcPr>
          <w:p w14:paraId="579EB667">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新增废水处理设施能力</w:t>
            </w:r>
          </w:p>
        </w:tc>
        <w:tc>
          <w:tcPr>
            <w:tcW w:w="6836" w:type="dxa"/>
            <w:gridSpan w:val="5"/>
            <w:tcBorders>
              <w:right w:val="single" w:color="auto" w:sz="4" w:space="0"/>
            </w:tcBorders>
            <w:shd w:val="clear" w:color="auto" w:fill="auto"/>
            <w:vAlign w:val="center"/>
          </w:tcPr>
          <w:p w14:paraId="4CFAD5D2">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b w:val="0"/>
                <w:bCs/>
                <w:color w:val="auto"/>
                <w:sz w:val="18"/>
                <w:szCs w:val="18"/>
              </w:rPr>
              <w:t>/</w:t>
            </w:r>
          </w:p>
        </w:tc>
        <w:tc>
          <w:tcPr>
            <w:tcW w:w="2767" w:type="dxa"/>
            <w:gridSpan w:val="2"/>
            <w:tcBorders>
              <w:left w:val="single" w:color="auto" w:sz="4" w:space="0"/>
              <w:right w:val="single" w:color="auto" w:sz="4" w:space="0"/>
            </w:tcBorders>
            <w:shd w:val="clear" w:color="auto" w:fill="auto"/>
            <w:vAlign w:val="center"/>
          </w:tcPr>
          <w:p w14:paraId="7DF07A88">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新增废气处理设施能力</w:t>
            </w:r>
          </w:p>
        </w:tc>
        <w:tc>
          <w:tcPr>
            <w:tcW w:w="2954" w:type="dxa"/>
            <w:gridSpan w:val="2"/>
            <w:tcBorders>
              <w:left w:val="single" w:color="auto" w:sz="4" w:space="0"/>
              <w:right w:val="single" w:color="auto" w:sz="4" w:space="0"/>
            </w:tcBorders>
            <w:shd w:val="clear" w:color="auto" w:fill="auto"/>
            <w:vAlign w:val="center"/>
          </w:tcPr>
          <w:p w14:paraId="28C32C3B">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w:t>
            </w:r>
          </w:p>
        </w:tc>
        <w:tc>
          <w:tcPr>
            <w:tcW w:w="2061" w:type="dxa"/>
            <w:gridSpan w:val="2"/>
            <w:tcBorders>
              <w:left w:val="single" w:color="auto" w:sz="4" w:space="0"/>
              <w:right w:val="single" w:color="auto" w:sz="4" w:space="0"/>
            </w:tcBorders>
            <w:shd w:val="clear" w:color="auto" w:fill="auto"/>
            <w:vAlign w:val="center"/>
          </w:tcPr>
          <w:p w14:paraId="43D19480">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年平均工作时</w:t>
            </w:r>
          </w:p>
        </w:tc>
        <w:tc>
          <w:tcPr>
            <w:tcW w:w="3283" w:type="dxa"/>
            <w:gridSpan w:val="5"/>
            <w:tcBorders>
              <w:left w:val="single" w:color="auto" w:sz="4" w:space="0"/>
            </w:tcBorders>
            <w:shd w:val="clear" w:color="auto" w:fill="auto"/>
            <w:vAlign w:val="center"/>
          </w:tcPr>
          <w:p w14:paraId="3A2C6A9C">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val="0"/>
                <w:color w:val="auto"/>
                <w:sz w:val="18"/>
                <w:szCs w:val="18"/>
                <w:lang w:val="en-US" w:eastAsia="zh-CN"/>
              </w:rPr>
            </w:pPr>
            <w:r>
              <w:rPr>
                <w:rFonts w:hint="eastAsia" w:ascii="Times New Roman" w:hAnsi="Times New Roman" w:cs="Times New Roman"/>
                <w:b w:val="0"/>
                <w:color w:val="auto"/>
                <w:sz w:val="18"/>
                <w:szCs w:val="18"/>
                <w:lang w:val="en-US" w:eastAsia="zh-CN"/>
              </w:rPr>
              <w:t>6000</w:t>
            </w:r>
            <w:r>
              <w:rPr>
                <w:rFonts w:hint="default" w:ascii="Times New Roman" w:hAnsi="Times New Roman" w:cs="Times New Roman"/>
                <w:b w:val="0"/>
                <w:color w:val="auto"/>
                <w:sz w:val="18"/>
                <w:szCs w:val="18"/>
                <w:lang w:val="en-US" w:eastAsia="zh-CN"/>
              </w:rPr>
              <w:t>h</w:t>
            </w:r>
          </w:p>
        </w:tc>
      </w:tr>
      <w:tr w14:paraId="0D327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 w:hRule="atLeast"/>
        </w:trPr>
        <w:tc>
          <w:tcPr>
            <w:tcW w:w="3242" w:type="dxa"/>
            <w:gridSpan w:val="3"/>
            <w:tcBorders>
              <w:top w:val="single" w:color="auto" w:sz="4" w:space="0"/>
              <w:bottom w:val="single" w:color="auto" w:sz="4" w:space="0"/>
            </w:tcBorders>
            <w:shd w:val="clear" w:color="auto" w:fill="auto"/>
            <w:vAlign w:val="center"/>
          </w:tcPr>
          <w:p w14:paraId="7B3EFAF1">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b w:val="0"/>
                <w:color w:val="auto"/>
                <w:sz w:val="18"/>
                <w:szCs w:val="18"/>
                <w:lang w:val="en-US" w:eastAsia="zh-CN"/>
              </w:rPr>
            </w:pPr>
            <w:r>
              <w:rPr>
                <w:rFonts w:hint="default" w:ascii="Times New Roman" w:hAnsi="Times New Roman" w:cs="Times New Roman"/>
                <w:color w:val="auto"/>
                <w:sz w:val="18"/>
                <w:szCs w:val="18"/>
                <w:lang w:val="en-US" w:eastAsia="zh-CN"/>
              </w:rPr>
              <w:t>运营单位</w:t>
            </w:r>
          </w:p>
        </w:tc>
        <w:tc>
          <w:tcPr>
            <w:tcW w:w="2661" w:type="dxa"/>
            <w:gridSpan w:val="2"/>
            <w:tcBorders>
              <w:right w:val="single" w:color="auto" w:sz="4" w:space="0"/>
            </w:tcBorders>
            <w:shd w:val="clear" w:color="auto" w:fill="auto"/>
            <w:vAlign w:val="center"/>
          </w:tcPr>
          <w:p w14:paraId="548D8A58">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b w:val="0"/>
                <w:color w:val="auto"/>
                <w:sz w:val="18"/>
                <w:szCs w:val="18"/>
                <w:lang w:val="en-US" w:eastAsia="zh-CN"/>
              </w:rPr>
            </w:pPr>
            <w:r>
              <w:rPr>
                <w:rFonts w:hint="eastAsia" w:ascii="Times New Roman" w:hAnsi="Times New Roman" w:cs="Times New Roman"/>
                <w:color w:val="auto"/>
                <w:sz w:val="18"/>
                <w:szCs w:val="18"/>
                <w:lang w:val="en-US" w:eastAsia="zh-CN"/>
              </w:rPr>
              <w:t>新乡市科博特起重机械</w:t>
            </w:r>
            <w:r>
              <w:rPr>
                <w:rFonts w:hint="eastAsia" w:ascii="Times New Roman" w:hAnsi="Times New Roman" w:cs="Times New Roman"/>
                <w:color w:val="auto"/>
                <w:sz w:val="18"/>
                <w:szCs w:val="18"/>
              </w:rPr>
              <w:t>有限公司</w:t>
            </w:r>
          </w:p>
        </w:tc>
        <w:tc>
          <w:tcPr>
            <w:tcW w:w="6942" w:type="dxa"/>
            <w:gridSpan w:val="5"/>
            <w:tcBorders>
              <w:left w:val="single" w:color="auto" w:sz="4" w:space="0"/>
              <w:right w:val="single" w:color="auto" w:sz="4" w:space="0"/>
            </w:tcBorders>
            <w:shd w:val="clear" w:color="auto" w:fill="auto"/>
            <w:vAlign w:val="center"/>
          </w:tcPr>
          <w:p w14:paraId="18FBCB60">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微软雅黑" w:cs="Times New Roman"/>
                <w:color w:val="auto"/>
                <w:sz w:val="18"/>
                <w:szCs w:val="18"/>
                <w:lang w:val="en-US" w:eastAsia="zh-CN"/>
              </w:rPr>
            </w:pPr>
            <w:r>
              <w:rPr>
                <w:rFonts w:hint="default" w:ascii="Times New Roman" w:hAnsi="Times New Roman" w:cs="Times New Roman"/>
                <w:color w:val="auto"/>
                <w:sz w:val="18"/>
                <w:szCs w:val="18"/>
              </w:rPr>
              <w:t>运营单位社会统一信用代码（或组织机构代码）</w:t>
            </w:r>
            <w:r>
              <w:rPr>
                <w:rFonts w:hint="default" w:ascii="Times New Roman" w:hAnsi="Times New Roman" w:cs="Times New Roman"/>
                <w:color w:val="auto"/>
                <w:sz w:val="18"/>
                <w:szCs w:val="18"/>
                <w:lang w:eastAsia="zh-CN"/>
              </w:rPr>
              <w:t>：</w:t>
            </w:r>
          </w:p>
        </w:tc>
        <w:tc>
          <w:tcPr>
            <w:tcW w:w="2954" w:type="dxa"/>
            <w:gridSpan w:val="2"/>
            <w:tcBorders>
              <w:left w:val="single" w:color="auto" w:sz="4" w:space="0"/>
              <w:right w:val="single" w:color="auto" w:sz="4" w:space="0"/>
            </w:tcBorders>
            <w:shd w:val="clear" w:color="auto" w:fill="auto"/>
            <w:vAlign w:val="center"/>
          </w:tcPr>
          <w:p w14:paraId="63A79472">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rPr>
              <w:t>91410728</w:t>
            </w:r>
            <w:r>
              <w:rPr>
                <w:rFonts w:hint="eastAsia" w:ascii="Times New Roman" w:hAnsi="Times New Roman" w:cs="Times New Roman"/>
                <w:color w:val="auto"/>
                <w:sz w:val="18"/>
                <w:szCs w:val="18"/>
                <w:lang w:val="en-US" w:eastAsia="zh-CN"/>
              </w:rPr>
              <w:t>692195098T</w:t>
            </w:r>
          </w:p>
        </w:tc>
        <w:tc>
          <w:tcPr>
            <w:tcW w:w="2061" w:type="dxa"/>
            <w:gridSpan w:val="2"/>
            <w:tcBorders>
              <w:left w:val="single" w:color="auto" w:sz="4" w:space="0"/>
              <w:right w:val="single" w:color="auto" w:sz="4" w:space="0"/>
            </w:tcBorders>
            <w:shd w:val="clear" w:color="auto" w:fill="auto"/>
            <w:vAlign w:val="center"/>
          </w:tcPr>
          <w:p w14:paraId="0C16E631">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验收时间</w:t>
            </w:r>
          </w:p>
        </w:tc>
        <w:tc>
          <w:tcPr>
            <w:tcW w:w="3283" w:type="dxa"/>
            <w:gridSpan w:val="5"/>
            <w:tcBorders>
              <w:left w:val="single" w:color="auto" w:sz="4" w:space="0"/>
            </w:tcBorders>
            <w:shd w:val="clear" w:color="auto" w:fill="auto"/>
            <w:vAlign w:val="center"/>
          </w:tcPr>
          <w:p w14:paraId="1116E5D0">
            <w:pPr>
              <w:pStyle w:val="31"/>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b w:val="0"/>
                <w:color w:val="auto"/>
                <w:sz w:val="18"/>
                <w:szCs w:val="18"/>
                <w:lang w:val="en-US" w:eastAsia="zh-CN"/>
              </w:rPr>
            </w:pPr>
            <w:r>
              <w:rPr>
                <w:rFonts w:hint="eastAsia" w:ascii="Times New Roman" w:hAnsi="Times New Roman" w:cs="Times New Roman"/>
                <w:b w:val="0"/>
                <w:color w:val="auto"/>
                <w:sz w:val="18"/>
                <w:szCs w:val="18"/>
                <w:lang w:val="en-US" w:eastAsia="zh-CN"/>
              </w:rPr>
              <w:t>2025年9月</w:t>
            </w:r>
          </w:p>
        </w:tc>
      </w:tr>
      <w:tr w14:paraId="53F10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9" w:hRule="atLeast"/>
        </w:trPr>
        <w:tc>
          <w:tcPr>
            <w:tcW w:w="840" w:type="dxa"/>
            <w:vMerge w:val="restart"/>
            <w:tcBorders>
              <w:top w:val="nil"/>
            </w:tcBorders>
            <w:shd w:val="clear" w:color="auto" w:fill="auto"/>
            <w:vAlign w:val="center"/>
          </w:tcPr>
          <w:p w14:paraId="0F4CC7C0">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w:t>
            </w:r>
          </w:p>
          <w:p w14:paraId="3B3EC8DA">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染</w:t>
            </w:r>
          </w:p>
          <w:p w14:paraId="7F2312D7">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物</w:t>
            </w:r>
          </w:p>
          <w:p w14:paraId="23E8094D">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w:t>
            </w:r>
          </w:p>
          <w:p w14:paraId="4E2FDC71">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放</w:t>
            </w:r>
          </w:p>
          <w:p w14:paraId="61628224">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达</w:t>
            </w:r>
          </w:p>
          <w:p w14:paraId="3D31F109">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标</w:t>
            </w:r>
          </w:p>
          <w:p w14:paraId="28CD9176">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与</w:t>
            </w:r>
          </w:p>
          <w:p w14:paraId="114D09D2">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总</w:t>
            </w:r>
          </w:p>
          <w:p w14:paraId="2EBCD2A9">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量</w:t>
            </w:r>
          </w:p>
          <w:p w14:paraId="0A5909AC">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控</w:t>
            </w:r>
          </w:p>
          <w:p w14:paraId="50430E72">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制</w:t>
            </w:r>
          </w:p>
          <w:p w14:paraId="5C7CA756">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w:t>
            </w:r>
          </w:p>
          <w:p w14:paraId="2C623E38">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w:t>
            </w:r>
          </w:p>
          <w:p w14:paraId="140245A6">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w:t>
            </w:r>
          </w:p>
          <w:p w14:paraId="79B9C275">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详填）</w:t>
            </w:r>
          </w:p>
        </w:tc>
        <w:tc>
          <w:tcPr>
            <w:tcW w:w="2402" w:type="dxa"/>
            <w:gridSpan w:val="2"/>
            <w:tcBorders>
              <w:top w:val="single" w:color="auto" w:sz="4" w:space="0"/>
            </w:tcBorders>
            <w:shd w:val="clear" w:color="auto" w:fill="auto"/>
            <w:vAlign w:val="center"/>
          </w:tcPr>
          <w:p w14:paraId="4AD0FF11">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污染物</w:t>
            </w:r>
          </w:p>
        </w:tc>
        <w:tc>
          <w:tcPr>
            <w:tcW w:w="977" w:type="dxa"/>
            <w:shd w:val="clear" w:color="auto" w:fill="auto"/>
            <w:vAlign w:val="center"/>
          </w:tcPr>
          <w:p w14:paraId="3D37AE6C">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原有排放量(1)</w:t>
            </w:r>
          </w:p>
        </w:tc>
        <w:tc>
          <w:tcPr>
            <w:tcW w:w="1684" w:type="dxa"/>
            <w:shd w:val="clear" w:color="auto" w:fill="auto"/>
            <w:vAlign w:val="center"/>
          </w:tcPr>
          <w:p w14:paraId="6C55117C">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本期工程实际排放浓度（2）</w:t>
            </w:r>
          </w:p>
        </w:tc>
        <w:tc>
          <w:tcPr>
            <w:tcW w:w="1379" w:type="dxa"/>
            <w:shd w:val="clear" w:color="auto" w:fill="auto"/>
            <w:vAlign w:val="center"/>
          </w:tcPr>
          <w:p w14:paraId="4BF50201">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本期工程允许排放浓度（3）</w:t>
            </w:r>
          </w:p>
        </w:tc>
        <w:tc>
          <w:tcPr>
            <w:tcW w:w="1434" w:type="dxa"/>
            <w:shd w:val="clear" w:color="auto" w:fill="auto"/>
            <w:vAlign w:val="center"/>
          </w:tcPr>
          <w:p w14:paraId="590D8624">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本期工程产生量（4）</w:t>
            </w:r>
          </w:p>
        </w:tc>
        <w:tc>
          <w:tcPr>
            <w:tcW w:w="1362" w:type="dxa"/>
            <w:shd w:val="clear" w:color="auto" w:fill="auto"/>
            <w:vAlign w:val="center"/>
          </w:tcPr>
          <w:p w14:paraId="0A601512">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本期工程自身消减量（5）</w:t>
            </w:r>
          </w:p>
        </w:tc>
        <w:tc>
          <w:tcPr>
            <w:tcW w:w="1460" w:type="dxa"/>
            <w:shd w:val="clear" w:color="auto" w:fill="auto"/>
            <w:vAlign w:val="center"/>
          </w:tcPr>
          <w:p w14:paraId="6E20BC7B">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本期工程实际排放量（6）</w:t>
            </w:r>
          </w:p>
        </w:tc>
        <w:tc>
          <w:tcPr>
            <w:tcW w:w="1307" w:type="dxa"/>
            <w:shd w:val="clear" w:color="auto" w:fill="auto"/>
            <w:vAlign w:val="center"/>
          </w:tcPr>
          <w:p w14:paraId="3B27BDC8">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本期工程核定排放总量（7）</w:t>
            </w:r>
          </w:p>
        </w:tc>
        <w:tc>
          <w:tcPr>
            <w:tcW w:w="1625" w:type="dxa"/>
            <w:shd w:val="clear" w:color="auto" w:fill="auto"/>
            <w:vAlign w:val="center"/>
          </w:tcPr>
          <w:p w14:paraId="34D24B18">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本期工程“以新带老”消减量（8）</w:t>
            </w:r>
          </w:p>
        </w:tc>
        <w:tc>
          <w:tcPr>
            <w:tcW w:w="1329" w:type="dxa"/>
            <w:shd w:val="clear" w:color="auto" w:fill="auto"/>
            <w:vAlign w:val="center"/>
          </w:tcPr>
          <w:p w14:paraId="2321606F">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全厂实际排放总量（9）</w:t>
            </w:r>
          </w:p>
        </w:tc>
        <w:tc>
          <w:tcPr>
            <w:tcW w:w="2061" w:type="dxa"/>
            <w:gridSpan w:val="2"/>
            <w:shd w:val="clear" w:color="auto" w:fill="auto"/>
            <w:vAlign w:val="center"/>
          </w:tcPr>
          <w:p w14:paraId="0C6F10A4">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全厂核定排放总量（10）</w:t>
            </w:r>
          </w:p>
        </w:tc>
        <w:tc>
          <w:tcPr>
            <w:tcW w:w="1079" w:type="dxa"/>
            <w:gridSpan w:val="2"/>
            <w:shd w:val="clear" w:color="auto" w:fill="auto"/>
            <w:vAlign w:val="center"/>
          </w:tcPr>
          <w:p w14:paraId="298D6BFB">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区域平衡替代消减量（11）</w:t>
            </w:r>
          </w:p>
        </w:tc>
        <w:tc>
          <w:tcPr>
            <w:tcW w:w="2204" w:type="dxa"/>
            <w:gridSpan w:val="3"/>
            <w:tcBorders>
              <w:top w:val="nil"/>
            </w:tcBorders>
            <w:shd w:val="clear" w:color="auto" w:fill="auto"/>
            <w:vAlign w:val="center"/>
          </w:tcPr>
          <w:p w14:paraId="281CD1F4">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排放增减量</w:t>
            </w:r>
          </w:p>
          <w:p w14:paraId="7EC483DF">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（12）</w:t>
            </w:r>
          </w:p>
        </w:tc>
      </w:tr>
      <w:tr w14:paraId="00187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7" w:hRule="atLeast"/>
        </w:trPr>
        <w:tc>
          <w:tcPr>
            <w:tcW w:w="840" w:type="dxa"/>
            <w:vMerge w:val="continue"/>
            <w:shd w:val="clear" w:color="auto" w:fill="auto"/>
            <w:vAlign w:val="center"/>
          </w:tcPr>
          <w:p w14:paraId="185A2D7D">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14:paraId="5761A9F4">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废水</w:t>
            </w:r>
          </w:p>
        </w:tc>
        <w:tc>
          <w:tcPr>
            <w:tcW w:w="977" w:type="dxa"/>
            <w:shd w:val="clear" w:color="auto" w:fill="auto"/>
            <w:vAlign w:val="center"/>
          </w:tcPr>
          <w:p w14:paraId="6C395D9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14:paraId="4CCFDB6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14:paraId="1BE2203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14:paraId="6011F16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14:paraId="1BD3DF5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14:paraId="132C047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307" w:type="dxa"/>
            <w:shd w:val="clear" w:color="auto" w:fill="auto"/>
            <w:vAlign w:val="center"/>
          </w:tcPr>
          <w:p w14:paraId="20DA820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25" w:type="dxa"/>
            <w:shd w:val="clear" w:color="auto" w:fill="auto"/>
            <w:vAlign w:val="center"/>
          </w:tcPr>
          <w:p w14:paraId="7117BB1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14:paraId="50F9107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14:paraId="29885A5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14:paraId="735383B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14:paraId="368C2C4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14:paraId="7947E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 w:hRule="atLeast"/>
        </w:trPr>
        <w:tc>
          <w:tcPr>
            <w:tcW w:w="840" w:type="dxa"/>
            <w:vMerge w:val="continue"/>
            <w:shd w:val="clear" w:color="auto" w:fill="auto"/>
            <w:vAlign w:val="center"/>
          </w:tcPr>
          <w:p w14:paraId="788EB967">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14:paraId="35E8AC28">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化学需氧量</w:t>
            </w:r>
          </w:p>
        </w:tc>
        <w:tc>
          <w:tcPr>
            <w:tcW w:w="977" w:type="dxa"/>
            <w:shd w:val="clear" w:color="auto" w:fill="auto"/>
            <w:vAlign w:val="center"/>
          </w:tcPr>
          <w:p w14:paraId="16E1494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0.0048</w:t>
            </w:r>
            <w:r>
              <w:rPr>
                <w:rFonts w:hint="default" w:ascii="Times New Roman" w:hAnsi="Times New Roman" w:cs="Times New Roman" w:eastAsiaTheme="minorEastAsia"/>
                <w:b/>
                <w:color w:val="auto"/>
                <w:kern w:val="2"/>
                <w:sz w:val="18"/>
                <w:szCs w:val="18"/>
                <w:lang w:val="en-US" w:eastAsia="zh-CN" w:bidi="ar-SA"/>
              </w:rPr>
              <w:t>t/a</w:t>
            </w:r>
          </w:p>
        </w:tc>
        <w:tc>
          <w:tcPr>
            <w:tcW w:w="1684" w:type="dxa"/>
            <w:shd w:val="clear" w:color="auto" w:fill="auto"/>
            <w:vAlign w:val="center"/>
          </w:tcPr>
          <w:p w14:paraId="6157862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14:paraId="4675E39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14:paraId="4F7F9EB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14:paraId="7806ECF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14:paraId="01EB301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w:t>
            </w:r>
            <w:r>
              <w:rPr>
                <w:rFonts w:hint="default" w:ascii="Times New Roman" w:hAnsi="Times New Roman" w:cs="Times New Roman" w:eastAsiaTheme="minorEastAsia"/>
                <w:b/>
                <w:color w:val="auto"/>
                <w:kern w:val="2"/>
                <w:sz w:val="18"/>
                <w:szCs w:val="18"/>
                <w:lang w:val="en-US" w:eastAsia="zh-CN" w:bidi="ar-SA"/>
              </w:rPr>
              <w:t>.0096t/a</w:t>
            </w:r>
          </w:p>
        </w:tc>
        <w:tc>
          <w:tcPr>
            <w:tcW w:w="1307" w:type="dxa"/>
            <w:shd w:val="clear" w:color="auto" w:fill="auto"/>
            <w:vAlign w:val="center"/>
          </w:tcPr>
          <w:p w14:paraId="4F1E0F6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625" w:type="dxa"/>
            <w:shd w:val="clear" w:color="auto" w:fill="auto"/>
            <w:vAlign w:val="center"/>
          </w:tcPr>
          <w:p w14:paraId="71175B0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14:paraId="34F88CB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0.0048</w:t>
            </w:r>
            <w:r>
              <w:rPr>
                <w:rFonts w:hint="default" w:ascii="Times New Roman" w:hAnsi="Times New Roman" w:cs="Times New Roman" w:eastAsiaTheme="minorEastAsia"/>
                <w:b/>
                <w:color w:val="auto"/>
                <w:kern w:val="2"/>
                <w:sz w:val="18"/>
                <w:szCs w:val="18"/>
                <w:lang w:val="en-US" w:eastAsia="zh-CN" w:bidi="ar-SA"/>
              </w:rPr>
              <w:t>t/a</w:t>
            </w:r>
          </w:p>
        </w:tc>
        <w:tc>
          <w:tcPr>
            <w:tcW w:w="2061" w:type="dxa"/>
            <w:gridSpan w:val="2"/>
            <w:shd w:val="clear" w:color="auto" w:fill="auto"/>
            <w:vAlign w:val="center"/>
          </w:tcPr>
          <w:p w14:paraId="42C3ED9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w:t>
            </w:r>
          </w:p>
        </w:tc>
        <w:tc>
          <w:tcPr>
            <w:tcW w:w="1079" w:type="dxa"/>
            <w:gridSpan w:val="2"/>
            <w:shd w:val="clear" w:color="auto" w:fill="auto"/>
            <w:vAlign w:val="center"/>
          </w:tcPr>
          <w:p w14:paraId="09F0649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204" w:type="dxa"/>
            <w:gridSpan w:val="3"/>
            <w:shd w:val="clear" w:color="auto" w:fill="auto"/>
            <w:vAlign w:val="center"/>
          </w:tcPr>
          <w:p w14:paraId="6118585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w:t>
            </w:r>
            <w:r>
              <w:rPr>
                <w:rFonts w:hint="default" w:ascii="Times New Roman" w:hAnsi="Times New Roman" w:cs="Times New Roman" w:eastAsiaTheme="minorEastAsia"/>
                <w:b/>
                <w:color w:val="auto"/>
                <w:kern w:val="2"/>
                <w:sz w:val="18"/>
                <w:szCs w:val="18"/>
                <w:lang w:val="en-US" w:eastAsia="zh-CN" w:bidi="ar-SA"/>
              </w:rPr>
              <w:t>.0096t/a</w:t>
            </w:r>
          </w:p>
        </w:tc>
      </w:tr>
      <w:tr w14:paraId="34BAE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8" w:hRule="atLeast"/>
        </w:trPr>
        <w:tc>
          <w:tcPr>
            <w:tcW w:w="840" w:type="dxa"/>
            <w:vMerge w:val="continue"/>
            <w:shd w:val="clear" w:color="auto" w:fill="auto"/>
            <w:vAlign w:val="center"/>
          </w:tcPr>
          <w:p w14:paraId="4F4558E2">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14:paraId="61486602">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氨 </w:t>
            </w:r>
            <w:r>
              <w:rPr>
                <w:rFonts w:hint="eastAsia" w:ascii="Times New Roman" w:hAnsi="Times New Roman" w:cs="Times New Roman"/>
                <w:color w:val="auto"/>
                <w:sz w:val="18"/>
                <w:szCs w:val="18"/>
                <w:lang w:val="en-US" w:eastAsia="zh-CN"/>
              </w:rPr>
              <w:t xml:space="preserve"> </w:t>
            </w:r>
            <w:r>
              <w:rPr>
                <w:rFonts w:hint="default" w:ascii="Times New Roman" w:hAnsi="Times New Roman" w:cs="Times New Roman"/>
                <w:color w:val="auto"/>
                <w:sz w:val="18"/>
                <w:szCs w:val="18"/>
              </w:rPr>
              <w:t xml:space="preserve">   </w:t>
            </w:r>
            <w:r>
              <w:rPr>
                <w:rFonts w:hint="eastAsia" w:ascii="Times New Roman" w:hAnsi="Times New Roman" w:cs="Times New Roman"/>
                <w:color w:val="auto"/>
                <w:sz w:val="18"/>
                <w:szCs w:val="18"/>
                <w:lang w:val="en-US" w:eastAsia="zh-CN"/>
              </w:rPr>
              <w:t xml:space="preserve"> </w:t>
            </w:r>
            <w:r>
              <w:rPr>
                <w:rFonts w:hint="default" w:ascii="Times New Roman" w:hAnsi="Times New Roman" w:cs="Times New Roman"/>
                <w:color w:val="auto"/>
                <w:sz w:val="18"/>
                <w:szCs w:val="18"/>
              </w:rPr>
              <w:t>氮</w:t>
            </w:r>
          </w:p>
        </w:tc>
        <w:tc>
          <w:tcPr>
            <w:tcW w:w="977" w:type="dxa"/>
            <w:shd w:val="clear" w:color="auto" w:fill="auto"/>
            <w:vAlign w:val="center"/>
          </w:tcPr>
          <w:p w14:paraId="77FC970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0.0005</w:t>
            </w:r>
            <w:r>
              <w:rPr>
                <w:rFonts w:hint="default" w:ascii="Times New Roman" w:hAnsi="Times New Roman" w:cs="Times New Roman" w:eastAsiaTheme="minorEastAsia"/>
                <w:b/>
                <w:color w:val="auto"/>
                <w:kern w:val="2"/>
                <w:sz w:val="18"/>
                <w:szCs w:val="18"/>
                <w:lang w:val="en-US" w:eastAsia="zh-CN" w:bidi="ar-SA"/>
              </w:rPr>
              <w:t>t/a</w:t>
            </w:r>
          </w:p>
        </w:tc>
        <w:tc>
          <w:tcPr>
            <w:tcW w:w="1684" w:type="dxa"/>
            <w:shd w:val="clear" w:color="auto" w:fill="auto"/>
            <w:vAlign w:val="center"/>
          </w:tcPr>
          <w:p w14:paraId="41A8FCB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14:paraId="79B569A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14:paraId="3032A06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14:paraId="4AA2F94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14:paraId="1C168A5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w:t>
            </w:r>
            <w:r>
              <w:rPr>
                <w:rFonts w:hint="default" w:ascii="Times New Roman" w:hAnsi="Times New Roman" w:cs="Times New Roman" w:eastAsiaTheme="minorEastAsia"/>
                <w:b/>
                <w:color w:val="auto"/>
                <w:kern w:val="2"/>
                <w:sz w:val="18"/>
                <w:szCs w:val="18"/>
                <w:lang w:val="en-US" w:eastAsia="zh-CN" w:bidi="ar-SA"/>
              </w:rPr>
              <w:t>.00072t/a</w:t>
            </w:r>
          </w:p>
        </w:tc>
        <w:tc>
          <w:tcPr>
            <w:tcW w:w="1307" w:type="dxa"/>
            <w:shd w:val="clear" w:color="auto" w:fill="auto"/>
            <w:vAlign w:val="center"/>
          </w:tcPr>
          <w:p w14:paraId="3EBB053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625" w:type="dxa"/>
            <w:shd w:val="clear" w:color="auto" w:fill="auto"/>
            <w:vAlign w:val="center"/>
          </w:tcPr>
          <w:p w14:paraId="4B0A405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14:paraId="56E3208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0.0005</w:t>
            </w:r>
            <w:r>
              <w:rPr>
                <w:rFonts w:hint="default" w:ascii="Times New Roman" w:hAnsi="Times New Roman" w:cs="Times New Roman" w:eastAsiaTheme="minorEastAsia"/>
                <w:b/>
                <w:color w:val="auto"/>
                <w:kern w:val="2"/>
                <w:sz w:val="18"/>
                <w:szCs w:val="18"/>
                <w:lang w:val="en-US" w:eastAsia="zh-CN" w:bidi="ar-SA"/>
              </w:rPr>
              <w:t>t/a</w:t>
            </w:r>
          </w:p>
        </w:tc>
        <w:tc>
          <w:tcPr>
            <w:tcW w:w="2061" w:type="dxa"/>
            <w:gridSpan w:val="2"/>
            <w:shd w:val="clear" w:color="auto" w:fill="auto"/>
            <w:vAlign w:val="center"/>
          </w:tcPr>
          <w:p w14:paraId="12F0B20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bCs w:val="0"/>
                <w:color w:val="auto"/>
                <w:kern w:val="2"/>
                <w:sz w:val="18"/>
                <w:szCs w:val="18"/>
                <w:lang w:val="en-US" w:eastAsia="zh-CN" w:bidi="ar-SA"/>
              </w:rPr>
              <w:t>/</w:t>
            </w:r>
          </w:p>
        </w:tc>
        <w:tc>
          <w:tcPr>
            <w:tcW w:w="1079" w:type="dxa"/>
            <w:gridSpan w:val="2"/>
            <w:shd w:val="clear" w:color="auto" w:fill="auto"/>
            <w:vAlign w:val="center"/>
          </w:tcPr>
          <w:p w14:paraId="64589DF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204" w:type="dxa"/>
            <w:gridSpan w:val="3"/>
            <w:shd w:val="clear" w:color="auto" w:fill="auto"/>
            <w:vAlign w:val="center"/>
          </w:tcPr>
          <w:p w14:paraId="55326F7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+0</w:t>
            </w:r>
            <w:r>
              <w:rPr>
                <w:rFonts w:hint="default" w:ascii="Times New Roman" w:hAnsi="Times New Roman" w:cs="Times New Roman" w:eastAsiaTheme="minorEastAsia"/>
                <w:b/>
                <w:color w:val="auto"/>
                <w:kern w:val="2"/>
                <w:sz w:val="18"/>
                <w:szCs w:val="18"/>
                <w:lang w:val="en-US" w:eastAsia="zh-CN" w:bidi="ar-SA"/>
              </w:rPr>
              <w:t>.00072t/a</w:t>
            </w:r>
          </w:p>
        </w:tc>
      </w:tr>
      <w:tr w14:paraId="2A41F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 w:hRule="atLeast"/>
        </w:trPr>
        <w:tc>
          <w:tcPr>
            <w:tcW w:w="840" w:type="dxa"/>
            <w:vMerge w:val="continue"/>
            <w:shd w:val="clear" w:color="auto" w:fill="auto"/>
            <w:vAlign w:val="center"/>
          </w:tcPr>
          <w:p w14:paraId="1D4F9D1B">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14:paraId="7A94F9DB">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石  油  类</w:t>
            </w:r>
          </w:p>
        </w:tc>
        <w:tc>
          <w:tcPr>
            <w:tcW w:w="977" w:type="dxa"/>
            <w:shd w:val="clear" w:color="auto" w:fill="auto"/>
            <w:vAlign w:val="center"/>
          </w:tcPr>
          <w:p w14:paraId="719609D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14:paraId="09DAAF1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14:paraId="20B5506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14:paraId="422CEB6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14:paraId="5A5F68A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14:paraId="095EFD1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07" w:type="dxa"/>
            <w:shd w:val="clear" w:color="auto" w:fill="auto"/>
            <w:vAlign w:val="center"/>
          </w:tcPr>
          <w:p w14:paraId="3959C71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625" w:type="dxa"/>
            <w:shd w:val="clear" w:color="auto" w:fill="auto"/>
            <w:vAlign w:val="center"/>
          </w:tcPr>
          <w:p w14:paraId="4178A9C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29" w:type="dxa"/>
            <w:shd w:val="clear" w:color="auto" w:fill="auto"/>
            <w:vAlign w:val="center"/>
          </w:tcPr>
          <w:p w14:paraId="63C5EA8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061" w:type="dxa"/>
            <w:gridSpan w:val="2"/>
            <w:shd w:val="clear" w:color="auto" w:fill="auto"/>
            <w:vAlign w:val="center"/>
          </w:tcPr>
          <w:p w14:paraId="74AD4BA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079" w:type="dxa"/>
            <w:gridSpan w:val="2"/>
            <w:shd w:val="clear" w:color="auto" w:fill="auto"/>
            <w:vAlign w:val="center"/>
          </w:tcPr>
          <w:p w14:paraId="30FF8C9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204" w:type="dxa"/>
            <w:gridSpan w:val="3"/>
            <w:shd w:val="clear" w:color="auto" w:fill="auto"/>
            <w:vAlign w:val="center"/>
          </w:tcPr>
          <w:p w14:paraId="346042C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r>
      <w:tr w14:paraId="1D139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0" w:hRule="atLeast"/>
        </w:trPr>
        <w:tc>
          <w:tcPr>
            <w:tcW w:w="840" w:type="dxa"/>
            <w:vMerge w:val="continue"/>
            <w:shd w:val="clear" w:color="auto" w:fill="auto"/>
            <w:vAlign w:val="center"/>
          </w:tcPr>
          <w:p w14:paraId="2F246392">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14:paraId="288E2014">
            <w:pPr>
              <w:pStyle w:val="31"/>
              <w:keepNext w:val="0"/>
              <w:keepLines w:val="0"/>
              <w:pageBreakBefore w:val="0"/>
              <w:widowControl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废气</w:t>
            </w:r>
          </w:p>
        </w:tc>
        <w:tc>
          <w:tcPr>
            <w:tcW w:w="977" w:type="dxa"/>
            <w:shd w:val="clear" w:color="auto" w:fill="auto"/>
            <w:vAlign w:val="center"/>
          </w:tcPr>
          <w:p w14:paraId="1371397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14:paraId="76323FC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14:paraId="7405C72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14:paraId="294900C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14:paraId="7C7603D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14:paraId="292656A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07" w:type="dxa"/>
            <w:shd w:val="clear" w:color="auto" w:fill="auto"/>
            <w:vAlign w:val="center"/>
          </w:tcPr>
          <w:p w14:paraId="15BAB97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625" w:type="dxa"/>
            <w:shd w:val="clear" w:color="auto" w:fill="auto"/>
            <w:vAlign w:val="center"/>
          </w:tcPr>
          <w:p w14:paraId="76E9117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329" w:type="dxa"/>
            <w:shd w:val="clear" w:color="auto" w:fill="auto"/>
            <w:vAlign w:val="center"/>
          </w:tcPr>
          <w:p w14:paraId="4DF4193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061" w:type="dxa"/>
            <w:gridSpan w:val="2"/>
            <w:shd w:val="clear" w:color="auto" w:fill="auto"/>
            <w:vAlign w:val="center"/>
          </w:tcPr>
          <w:p w14:paraId="2F9BF4B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1079" w:type="dxa"/>
            <w:gridSpan w:val="2"/>
            <w:shd w:val="clear" w:color="auto" w:fill="auto"/>
            <w:vAlign w:val="center"/>
          </w:tcPr>
          <w:p w14:paraId="4D51991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c>
          <w:tcPr>
            <w:tcW w:w="2204" w:type="dxa"/>
            <w:gridSpan w:val="3"/>
            <w:shd w:val="clear" w:color="auto" w:fill="auto"/>
            <w:vAlign w:val="center"/>
          </w:tcPr>
          <w:p w14:paraId="254EAD3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t>/</w:t>
            </w:r>
          </w:p>
        </w:tc>
      </w:tr>
      <w:tr w14:paraId="48E5D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9" w:hRule="atLeast"/>
        </w:trPr>
        <w:tc>
          <w:tcPr>
            <w:tcW w:w="840" w:type="dxa"/>
            <w:vMerge w:val="continue"/>
            <w:shd w:val="clear" w:color="auto" w:fill="auto"/>
            <w:vAlign w:val="center"/>
          </w:tcPr>
          <w:p w14:paraId="34DBF91B">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14:paraId="0C0FF26D">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二氧化硫</w:t>
            </w:r>
          </w:p>
        </w:tc>
        <w:tc>
          <w:tcPr>
            <w:tcW w:w="977" w:type="dxa"/>
            <w:shd w:val="clear" w:color="auto" w:fill="auto"/>
            <w:vAlign w:val="center"/>
          </w:tcPr>
          <w:p w14:paraId="6C3B7F4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14:paraId="23CB2BA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14:paraId="30D4BFC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14:paraId="28D5EBA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14:paraId="6BA71D4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14:paraId="51FA8EE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07" w:type="dxa"/>
            <w:shd w:val="clear" w:color="auto" w:fill="auto"/>
            <w:vAlign w:val="center"/>
          </w:tcPr>
          <w:p w14:paraId="6877BF7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625" w:type="dxa"/>
            <w:shd w:val="clear" w:color="auto" w:fill="auto"/>
            <w:vAlign w:val="center"/>
          </w:tcPr>
          <w:p w14:paraId="52CCCD5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14:paraId="1232A89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14:paraId="4E55AA2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14:paraId="4F29A38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14:paraId="456B9FB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14:paraId="221BB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trPr>
        <w:tc>
          <w:tcPr>
            <w:tcW w:w="840" w:type="dxa"/>
            <w:vMerge w:val="continue"/>
            <w:shd w:val="clear" w:color="auto" w:fill="auto"/>
            <w:vAlign w:val="center"/>
          </w:tcPr>
          <w:p w14:paraId="4018FB98">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14:paraId="7000E91D">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烟    尘</w:t>
            </w:r>
          </w:p>
        </w:tc>
        <w:tc>
          <w:tcPr>
            <w:tcW w:w="977" w:type="dxa"/>
            <w:shd w:val="clear" w:color="auto" w:fill="auto"/>
            <w:vAlign w:val="center"/>
          </w:tcPr>
          <w:p w14:paraId="4FBD0F7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14:paraId="4171BCA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14:paraId="3E5BCB6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14:paraId="27BB1EF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14:paraId="7FDDB57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14:paraId="0A9E015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07" w:type="dxa"/>
            <w:shd w:val="clear" w:color="auto" w:fill="auto"/>
            <w:vAlign w:val="center"/>
          </w:tcPr>
          <w:p w14:paraId="1DF04F9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625" w:type="dxa"/>
            <w:shd w:val="clear" w:color="auto" w:fill="auto"/>
            <w:vAlign w:val="center"/>
          </w:tcPr>
          <w:p w14:paraId="7875A24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14:paraId="53288A3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14:paraId="51CDC60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14:paraId="0DD1E84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14:paraId="4AB1010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14:paraId="1AB5A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7" w:hRule="atLeast"/>
        </w:trPr>
        <w:tc>
          <w:tcPr>
            <w:tcW w:w="840" w:type="dxa"/>
            <w:vMerge w:val="continue"/>
            <w:shd w:val="clear" w:color="auto" w:fill="auto"/>
            <w:vAlign w:val="center"/>
          </w:tcPr>
          <w:p w14:paraId="30D3BEE2">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14:paraId="53E865EE">
            <w:pPr>
              <w:pStyle w:val="31"/>
              <w:keepNext w:val="0"/>
              <w:keepLines w:val="0"/>
              <w:pageBreakBefore w:val="0"/>
              <w:kinsoku/>
              <w:wordWrap/>
              <w:overflowPunct/>
              <w:topLinePunct w:val="0"/>
              <w:autoSpaceDE/>
              <w:autoSpaceDN/>
              <w:bidi w:val="0"/>
              <w:adjustRightInd/>
              <w:snapToGrid/>
              <w:spacing w:after="0" w:line="240" w:lineRule="auto"/>
              <w:ind w:left="0" w:leftChars="0" w:right="0" w:rightChars="0" w:firstLine="0" w:firstLineChars="0"/>
              <w:jc w:val="center"/>
              <w:textAlignment w:val="auto"/>
              <w:outlineLvl w:val="9"/>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工业粉尘</w:t>
            </w:r>
          </w:p>
        </w:tc>
        <w:tc>
          <w:tcPr>
            <w:tcW w:w="977" w:type="dxa"/>
            <w:shd w:val="clear" w:color="auto" w:fill="auto"/>
            <w:vAlign w:val="center"/>
          </w:tcPr>
          <w:p w14:paraId="1A46595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14:paraId="455A855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14:paraId="122385C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14:paraId="3FA7994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14:paraId="383070A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14:paraId="7A01A38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07" w:type="dxa"/>
            <w:shd w:val="clear" w:color="auto" w:fill="auto"/>
            <w:vAlign w:val="center"/>
          </w:tcPr>
          <w:p w14:paraId="40F1928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625" w:type="dxa"/>
            <w:shd w:val="clear" w:color="auto" w:fill="auto"/>
            <w:vAlign w:val="center"/>
          </w:tcPr>
          <w:p w14:paraId="1761F42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14:paraId="378D852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14:paraId="581C4B4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14:paraId="36D143E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14:paraId="39E1B68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r>
      <w:tr w14:paraId="402A0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trPr>
        <w:tc>
          <w:tcPr>
            <w:tcW w:w="840" w:type="dxa"/>
            <w:vMerge w:val="continue"/>
            <w:shd w:val="clear" w:color="auto" w:fill="auto"/>
            <w:vAlign w:val="center"/>
          </w:tcPr>
          <w:p w14:paraId="1A9B5B1E">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14:paraId="5E651F0C">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氮氧化物</w:t>
            </w:r>
          </w:p>
        </w:tc>
        <w:tc>
          <w:tcPr>
            <w:tcW w:w="977" w:type="dxa"/>
            <w:shd w:val="clear" w:color="auto" w:fill="auto"/>
            <w:vAlign w:val="center"/>
          </w:tcPr>
          <w:p w14:paraId="7A6DA22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14:paraId="34A2BB4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14:paraId="61B131A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14:paraId="01E30E4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14:paraId="5E6AF44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14:paraId="01625BD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7" w:type="dxa"/>
            <w:shd w:val="clear" w:color="auto" w:fill="auto"/>
            <w:vAlign w:val="center"/>
          </w:tcPr>
          <w:p w14:paraId="0C3ABE5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25" w:type="dxa"/>
            <w:shd w:val="clear" w:color="auto" w:fill="auto"/>
            <w:vAlign w:val="center"/>
          </w:tcPr>
          <w:p w14:paraId="0CB4BBF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14:paraId="017DA90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14:paraId="2AEB171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14:paraId="47E70FF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14:paraId="2E11A49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14:paraId="1B33E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840" w:type="dxa"/>
            <w:vMerge w:val="continue"/>
            <w:shd w:val="clear" w:color="auto" w:fill="auto"/>
            <w:vAlign w:val="center"/>
          </w:tcPr>
          <w:p w14:paraId="2E146225">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2402" w:type="dxa"/>
            <w:gridSpan w:val="2"/>
            <w:shd w:val="clear" w:color="auto" w:fill="auto"/>
            <w:vAlign w:val="center"/>
          </w:tcPr>
          <w:p w14:paraId="164EC9E2">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工业固体废物</w:t>
            </w:r>
          </w:p>
        </w:tc>
        <w:tc>
          <w:tcPr>
            <w:tcW w:w="977" w:type="dxa"/>
            <w:shd w:val="clear" w:color="auto" w:fill="auto"/>
            <w:vAlign w:val="center"/>
          </w:tcPr>
          <w:p w14:paraId="24E2431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14:paraId="0BE1218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14:paraId="192BE2E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14:paraId="0E5A0B8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14:paraId="792125B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14:paraId="4C57D93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307" w:type="dxa"/>
            <w:shd w:val="clear" w:color="auto" w:fill="auto"/>
            <w:vAlign w:val="center"/>
          </w:tcPr>
          <w:p w14:paraId="159B96B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25" w:type="dxa"/>
            <w:shd w:val="clear" w:color="auto" w:fill="auto"/>
            <w:vAlign w:val="center"/>
          </w:tcPr>
          <w:p w14:paraId="278B515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14:paraId="18C46D1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14:paraId="08A0D45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14:paraId="5055767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14:paraId="5FCBB88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r>
      <w:tr w14:paraId="2BC9D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840" w:type="dxa"/>
            <w:vMerge w:val="continue"/>
            <w:shd w:val="clear" w:color="auto" w:fill="auto"/>
            <w:vAlign w:val="center"/>
          </w:tcPr>
          <w:p w14:paraId="7EB66679">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621" w:type="dxa"/>
            <w:vMerge w:val="restart"/>
            <w:shd w:val="clear" w:color="auto" w:fill="auto"/>
            <w:vAlign w:val="center"/>
          </w:tcPr>
          <w:p w14:paraId="0C199A6A">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w:t>
            </w:r>
          </w:p>
          <w:p w14:paraId="3A9B9BE8">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相关</w:t>
            </w:r>
          </w:p>
          <w:p w14:paraId="7C0C533E">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的其</w:t>
            </w:r>
          </w:p>
          <w:p w14:paraId="660F0883">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它污染物</w:t>
            </w:r>
          </w:p>
        </w:tc>
        <w:tc>
          <w:tcPr>
            <w:tcW w:w="1781" w:type="dxa"/>
            <w:shd w:val="clear" w:color="auto" w:fill="auto"/>
            <w:vAlign w:val="center"/>
          </w:tcPr>
          <w:p w14:paraId="7EF1BB4C">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color w:val="auto"/>
                <w:sz w:val="18"/>
                <w:szCs w:val="18"/>
                <w:lang w:val="en-US" w:eastAsia="zh-CN"/>
              </w:rPr>
            </w:pPr>
            <w:r>
              <w:rPr>
                <w:rFonts w:hint="eastAsia" w:ascii="Times New Roman" w:hAnsi="Times New Roman" w:cs="Times New Roman"/>
                <w:color w:val="auto"/>
                <w:sz w:val="18"/>
                <w:szCs w:val="18"/>
                <w:lang w:val="en-US" w:eastAsia="zh-CN"/>
              </w:rPr>
              <w:t>非甲烷总烃</w:t>
            </w:r>
          </w:p>
        </w:tc>
        <w:tc>
          <w:tcPr>
            <w:tcW w:w="977" w:type="dxa"/>
            <w:shd w:val="clear" w:color="auto" w:fill="auto"/>
            <w:vAlign w:val="center"/>
          </w:tcPr>
          <w:p w14:paraId="3AEC536B">
            <w:pPr>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14:paraId="74FF5B2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14:paraId="5D9F789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14:paraId="43279F4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14:paraId="2EF28C6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bottom"/>
          </w:tcPr>
          <w:p w14:paraId="2DE9FA4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0.5469</w:t>
            </w:r>
            <w:r>
              <w:rPr>
                <w:rFonts w:hint="default" w:ascii="Times New Roman" w:hAnsi="Times New Roman" w:cs="Times New Roman" w:eastAsiaTheme="minorEastAsia"/>
                <w:b/>
                <w:color w:val="auto"/>
                <w:kern w:val="2"/>
                <w:sz w:val="18"/>
                <w:szCs w:val="18"/>
                <w:lang w:val="en-US" w:eastAsia="zh-CN" w:bidi="ar-SA"/>
              </w:rPr>
              <w:t>t/a</w:t>
            </w:r>
          </w:p>
        </w:tc>
        <w:tc>
          <w:tcPr>
            <w:tcW w:w="1307" w:type="dxa"/>
            <w:shd w:val="clear" w:color="auto" w:fill="auto"/>
            <w:vAlign w:val="center"/>
          </w:tcPr>
          <w:p w14:paraId="1683D86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25" w:type="dxa"/>
            <w:shd w:val="clear" w:color="auto" w:fill="auto"/>
            <w:vAlign w:val="center"/>
          </w:tcPr>
          <w:p w14:paraId="63EB367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bottom"/>
          </w:tcPr>
          <w:p w14:paraId="691B07D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0.5469</w:t>
            </w:r>
            <w:r>
              <w:rPr>
                <w:rFonts w:hint="default" w:ascii="Times New Roman" w:hAnsi="Times New Roman" w:cs="Times New Roman" w:eastAsiaTheme="minorEastAsia"/>
                <w:b/>
                <w:color w:val="auto"/>
                <w:kern w:val="2"/>
                <w:sz w:val="18"/>
                <w:szCs w:val="18"/>
                <w:lang w:val="en-US" w:eastAsia="zh-CN" w:bidi="ar-SA"/>
              </w:rPr>
              <w:t>t/a</w:t>
            </w:r>
          </w:p>
        </w:tc>
        <w:tc>
          <w:tcPr>
            <w:tcW w:w="2061" w:type="dxa"/>
            <w:gridSpan w:val="2"/>
            <w:shd w:val="clear" w:color="auto" w:fill="auto"/>
            <w:vAlign w:val="center"/>
          </w:tcPr>
          <w:p w14:paraId="3D714BD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14:paraId="4C90C70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bottom"/>
          </w:tcPr>
          <w:p w14:paraId="56DD870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+0.5469</w:t>
            </w:r>
            <w:r>
              <w:rPr>
                <w:rFonts w:hint="default" w:ascii="Times New Roman" w:hAnsi="Times New Roman" w:cs="Times New Roman" w:eastAsiaTheme="minorEastAsia"/>
                <w:b/>
                <w:color w:val="auto"/>
                <w:kern w:val="2"/>
                <w:sz w:val="18"/>
                <w:szCs w:val="18"/>
                <w:lang w:val="en-US" w:eastAsia="zh-CN" w:bidi="ar-SA"/>
              </w:rPr>
              <w:t>t/a</w:t>
            </w:r>
          </w:p>
        </w:tc>
      </w:tr>
      <w:tr w14:paraId="373F1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840" w:type="dxa"/>
            <w:vMerge w:val="continue"/>
            <w:shd w:val="clear" w:color="auto" w:fill="auto"/>
            <w:vAlign w:val="center"/>
          </w:tcPr>
          <w:p w14:paraId="573255B5">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621" w:type="dxa"/>
            <w:vMerge w:val="continue"/>
            <w:shd w:val="clear" w:color="auto" w:fill="auto"/>
            <w:vAlign w:val="center"/>
          </w:tcPr>
          <w:p w14:paraId="1A2AEC7E">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781" w:type="dxa"/>
            <w:shd w:val="clear" w:color="auto" w:fill="auto"/>
            <w:vAlign w:val="center"/>
          </w:tcPr>
          <w:p w14:paraId="1FAA9223">
            <w:pPr>
              <w:pStyle w:val="31"/>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颗粒物</w:t>
            </w:r>
          </w:p>
        </w:tc>
        <w:tc>
          <w:tcPr>
            <w:tcW w:w="977" w:type="dxa"/>
            <w:shd w:val="clear" w:color="auto" w:fill="auto"/>
            <w:vAlign w:val="center"/>
          </w:tcPr>
          <w:p w14:paraId="5A262563">
            <w:pPr>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14:paraId="58465AC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14:paraId="4435A6E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14:paraId="753570C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14:paraId="44E1476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bottom"/>
          </w:tcPr>
          <w:p w14:paraId="2E7CB01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0.0684</w:t>
            </w:r>
            <w:r>
              <w:rPr>
                <w:rFonts w:hint="default" w:ascii="Times New Roman" w:hAnsi="Times New Roman" w:cs="Times New Roman" w:eastAsiaTheme="minorEastAsia"/>
                <w:b/>
                <w:color w:val="auto"/>
                <w:kern w:val="2"/>
                <w:sz w:val="18"/>
                <w:szCs w:val="18"/>
                <w:lang w:val="en-US" w:eastAsia="zh-CN" w:bidi="ar-SA"/>
              </w:rPr>
              <w:t>t/a</w:t>
            </w:r>
          </w:p>
        </w:tc>
        <w:tc>
          <w:tcPr>
            <w:tcW w:w="1307" w:type="dxa"/>
            <w:shd w:val="clear" w:color="auto" w:fill="auto"/>
            <w:vAlign w:val="center"/>
          </w:tcPr>
          <w:p w14:paraId="378A904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25" w:type="dxa"/>
            <w:shd w:val="clear" w:color="auto" w:fill="auto"/>
            <w:vAlign w:val="center"/>
          </w:tcPr>
          <w:p w14:paraId="4D3257B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bottom"/>
          </w:tcPr>
          <w:p w14:paraId="317AA9A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0.0684</w:t>
            </w:r>
            <w:r>
              <w:rPr>
                <w:rFonts w:hint="default" w:ascii="Times New Roman" w:hAnsi="Times New Roman" w:cs="Times New Roman" w:eastAsiaTheme="minorEastAsia"/>
                <w:b/>
                <w:color w:val="auto"/>
                <w:kern w:val="2"/>
                <w:sz w:val="18"/>
                <w:szCs w:val="18"/>
                <w:lang w:val="en-US" w:eastAsia="zh-CN" w:bidi="ar-SA"/>
              </w:rPr>
              <w:t>t/a</w:t>
            </w:r>
          </w:p>
        </w:tc>
        <w:tc>
          <w:tcPr>
            <w:tcW w:w="2061" w:type="dxa"/>
            <w:gridSpan w:val="2"/>
            <w:shd w:val="clear" w:color="auto" w:fill="auto"/>
            <w:vAlign w:val="center"/>
          </w:tcPr>
          <w:p w14:paraId="6469581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14:paraId="4B85FCB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bottom"/>
          </w:tcPr>
          <w:p w14:paraId="7F8057F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+0.0684</w:t>
            </w:r>
            <w:r>
              <w:rPr>
                <w:rFonts w:hint="default" w:ascii="Times New Roman" w:hAnsi="Times New Roman" w:cs="Times New Roman" w:eastAsiaTheme="minorEastAsia"/>
                <w:b/>
                <w:color w:val="auto"/>
                <w:kern w:val="2"/>
                <w:sz w:val="18"/>
                <w:szCs w:val="18"/>
                <w:lang w:val="en-US" w:eastAsia="zh-CN" w:bidi="ar-SA"/>
              </w:rPr>
              <w:t>t/a</w:t>
            </w:r>
          </w:p>
        </w:tc>
      </w:tr>
      <w:tr w14:paraId="72E2A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840" w:type="dxa"/>
            <w:vMerge w:val="continue"/>
            <w:shd w:val="clear" w:color="auto" w:fill="auto"/>
            <w:vAlign w:val="center"/>
          </w:tcPr>
          <w:p w14:paraId="022289C5">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621" w:type="dxa"/>
            <w:vMerge w:val="continue"/>
            <w:shd w:val="clear" w:color="auto" w:fill="auto"/>
            <w:vAlign w:val="center"/>
          </w:tcPr>
          <w:p w14:paraId="68772940">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781" w:type="dxa"/>
            <w:shd w:val="clear" w:color="auto" w:fill="auto"/>
            <w:vAlign w:val="center"/>
          </w:tcPr>
          <w:p w14:paraId="2D745FB5">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甲醛</w:t>
            </w:r>
          </w:p>
        </w:tc>
        <w:tc>
          <w:tcPr>
            <w:tcW w:w="977" w:type="dxa"/>
            <w:shd w:val="clear" w:color="auto" w:fill="auto"/>
            <w:vAlign w:val="center"/>
          </w:tcPr>
          <w:p w14:paraId="79B9656C">
            <w:pPr>
              <w:pStyle w:val="31"/>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14:paraId="4A2F09A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14:paraId="71B095E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14:paraId="1390AB5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14:paraId="77A25F3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14:paraId="27CFA74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eastAsia"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07" w:type="dxa"/>
            <w:shd w:val="clear" w:color="auto" w:fill="auto"/>
            <w:vAlign w:val="center"/>
          </w:tcPr>
          <w:p w14:paraId="26A715C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625" w:type="dxa"/>
            <w:shd w:val="clear" w:color="auto" w:fill="auto"/>
            <w:vAlign w:val="center"/>
          </w:tcPr>
          <w:p w14:paraId="5A877AC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29" w:type="dxa"/>
            <w:shd w:val="clear" w:color="auto" w:fill="auto"/>
            <w:vAlign w:val="center"/>
          </w:tcPr>
          <w:p w14:paraId="605CD38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061" w:type="dxa"/>
            <w:gridSpan w:val="2"/>
            <w:shd w:val="clear" w:color="auto" w:fill="auto"/>
            <w:vAlign w:val="center"/>
          </w:tcPr>
          <w:p w14:paraId="47C4C6B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079" w:type="dxa"/>
            <w:gridSpan w:val="2"/>
            <w:shd w:val="clear" w:color="auto" w:fill="auto"/>
            <w:vAlign w:val="center"/>
          </w:tcPr>
          <w:p w14:paraId="48148D3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204" w:type="dxa"/>
            <w:gridSpan w:val="3"/>
            <w:shd w:val="clear" w:color="auto" w:fill="auto"/>
            <w:vAlign w:val="center"/>
          </w:tcPr>
          <w:p w14:paraId="6BE9D2B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r>
      <w:tr w14:paraId="4A6B2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840" w:type="dxa"/>
            <w:vMerge w:val="continue"/>
            <w:shd w:val="clear" w:color="auto" w:fill="auto"/>
            <w:vAlign w:val="center"/>
          </w:tcPr>
          <w:p w14:paraId="51127D52">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621" w:type="dxa"/>
            <w:vMerge w:val="continue"/>
            <w:shd w:val="clear" w:color="auto" w:fill="auto"/>
            <w:vAlign w:val="center"/>
          </w:tcPr>
          <w:p w14:paraId="4CAFDAE8">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781" w:type="dxa"/>
            <w:shd w:val="clear" w:color="auto" w:fill="auto"/>
            <w:vAlign w:val="center"/>
          </w:tcPr>
          <w:p w14:paraId="2787A31C">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eastAsia="微软雅黑" w:cs="Times New Roman"/>
                <w:color w:val="auto"/>
                <w:sz w:val="18"/>
                <w:szCs w:val="18"/>
                <w:lang w:val="en-US" w:eastAsia="zh-CN"/>
              </w:rPr>
            </w:pPr>
            <w:r>
              <w:rPr>
                <w:rFonts w:hint="eastAsia" w:ascii="Times New Roman" w:hAnsi="Times New Roman" w:cs="Times New Roman"/>
                <w:color w:val="auto"/>
                <w:sz w:val="18"/>
                <w:szCs w:val="18"/>
                <w:lang w:val="en-US" w:eastAsia="zh-CN"/>
              </w:rPr>
              <w:t>酚类</w:t>
            </w:r>
          </w:p>
        </w:tc>
        <w:tc>
          <w:tcPr>
            <w:tcW w:w="977" w:type="dxa"/>
            <w:shd w:val="clear" w:color="auto" w:fill="auto"/>
            <w:vAlign w:val="center"/>
          </w:tcPr>
          <w:p w14:paraId="547597DF">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14:paraId="5EEADB5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79" w:type="dxa"/>
            <w:shd w:val="clear" w:color="auto" w:fill="auto"/>
            <w:vAlign w:val="center"/>
          </w:tcPr>
          <w:p w14:paraId="483005D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14:paraId="6F18300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14:paraId="3B5D78B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14:paraId="3D4BF1F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07" w:type="dxa"/>
            <w:shd w:val="clear" w:color="auto" w:fill="auto"/>
            <w:vAlign w:val="center"/>
          </w:tcPr>
          <w:p w14:paraId="5CD6E75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625" w:type="dxa"/>
            <w:shd w:val="clear" w:color="auto" w:fill="auto"/>
            <w:vAlign w:val="center"/>
          </w:tcPr>
          <w:p w14:paraId="629A9DDF">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29" w:type="dxa"/>
            <w:shd w:val="clear" w:color="auto" w:fill="auto"/>
            <w:vAlign w:val="center"/>
          </w:tcPr>
          <w:p w14:paraId="3676C04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061" w:type="dxa"/>
            <w:gridSpan w:val="2"/>
            <w:shd w:val="clear" w:color="auto" w:fill="auto"/>
            <w:vAlign w:val="center"/>
          </w:tcPr>
          <w:p w14:paraId="5916B3E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079" w:type="dxa"/>
            <w:gridSpan w:val="2"/>
            <w:shd w:val="clear" w:color="auto" w:fill="auto"/>
            <w:vAlign w:val="center"/>
          </w:tcPr>
          <w:p w14:paraId="6162D2F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204" w:type="dxa"/>
            <w:gridSpan w:val="3"/>
            <w:shd w:val="clear" w:color="auto" w:fill="auto"/>
            <w:vAlign w:val="center"/>
          </w:tcPr>
          <w:p w14:paraId="4B912F7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r>
      <w:tr w14:paraId="75D33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840" w:type="dxa"/>
            <w:vMerge w:val="continue"/>
            <w:shd w:val="clear" w:color="auto" w:fill="auto"/>
            <w:vAlign w:val="center"/>
          </w:tcPr>
          <w:p w14:paraId="7C2C4147">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621" w:type="dxa"/>
            <w:vMerge w:val="continue"/>
            <w:shd w:val="clear" w:color="auto" w:fill="auto"/>
            <w:vAlign w:val="center"/>
          </w:tcPr>
          <w:p w14:paraId="02510F1C">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auto"/>
                <w:sz w:val="18"/>
                <w:szCs w:val="18"/>
              </w:rPr>
            </w:pPr>
          </w:p>
        </w:tc>
        <w:tc>
          <w:tcPr>
            <w:tcW w:w="1781" w:type="dxa"/>
            <w:shd w:val="clear" w:color="auto" w:fill="auto"/>
            <w:vAlign w:val="center"/>
          </w:tcPr>
          <w:p w14:paraId="2665EAFB">
            <w:pPr>
              <w:pStyle w:val="31"/>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auto"/>
                <w:sz w:val="18"/>
                <w:szCs w:val="18"/>
                <w:lang w:eastAsia="zh-CN"/>
              </w:rPr>
            </w:pPr>
            <w:r>
              <w:rPr>
                <w:rFonts w:hint="eastAsia" w:ascii="Times New Roman" w:hAnsi="Times New Roman" w:cs="Times New Roman"/>
                <w:color w:val="auto"/>
                <w:sz w:val="18"/>
                <w:szCs w:val="18"/>
                <w:lang w:eastAsia="zh-CN"/>
              </w:rPr>
              <w:t>总磷</w:t>
            </w:r>
          </w:p>
        </w:tc>
        <w:tc>
          <w:tcPr>
            <w:tcW w:w="977" w:type="dxa"/>
            <w:shd w:val="clear" w:color="auto" w:fill="auto"/>
            <w:vAlign w:val="center"/>
          </w:tcPr>
          <w:p w14:paraId="3F4EBACE">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14:paraId="2E9E2D75">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bCs w:val="0"/>
                <w:color w:val="auto"/>
                <w:kern w:val="2"/>
                <w:sz w:val="18"/>
                <w:szCs w:val="18"/>
                <w:lang w:val="en-US" w:eastAsia="zh-CN" w:bidi="ar-SA"/>
              </w:rPr>
            </w:pPr>
            <w:r>
              <w:rPr>
                <w:rFonts w:hint="eastAsia" w:cs="Times New Roman" w:eastAsiaTheme="minorEastAsia"/>
                <w:b/>
                <w:bCs w:val="0"/>
                <w:color w:val="auto"/>
                <w:kern w:val="2"/>
                <w:sz w:val="18"/>
                <w:szCs w:val="18"/>
                <w:lang w:val="en-US" w:eastAsia="zh-CN" w:bidi="ar-SA"/>
              </w:rPr>
              <w:t>/</w:t>
            </w:r>
          </w:p>
        </w:tc>
        <w:tc>
          <w:tcPr>
            <w:tcW w:w="1379" w:type="dxa"/>
            <w:shd w:val="clear" w:color="auto" w:fill="auto"/>
            <w:vAlign w:val="center"/>
          </w:tcPr>
          <w:p w14:paraId="30D4EB89">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14:paraId="18502303">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14:paraId="2783F2F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14:paraId="5144F910">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07" w:type="dxa"/>
            <w:shd w:val="clear" w:color="auto" w:fill="auto"/>
            <w:vAlign w:val="center"/>
          </w:tcPr>
          <w:p w14:paraId="1F3D4662">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625" w:type="dxa"/>
            <w:shd w:val="clear" w:color="auto" w:fill="auto"/>
            <w:vAlign w:val="center"/>
          </w:tcPr>
          <w:p w14:paraId="51C216B1">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329" w:type="dxa"/>
            <w:shd w:val="clear" w:color="auto" w:fill="auto"/>
            <w:vAlign w:val="center"/>
          </w:tcPr>
          <w:p w14:paraId="2719E3E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061" w:type="dxa"/>
            <w:gridSpan w:val="2"/>
            <w:shd w:val="clear" w:color="auto" w:fill="auto"/>
            <w:vAlign w:val="center"/>
          </w:tcPr>
          <w:p w14:paraId="2A874DBC">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1079" w:type="dxa"/>
            <w:gridSpan w:val="2"/>
            <w:shd w:val="clear" w:color="auto" w:fill="auto"/>
            <w:vAlign w:val="center"/>
          </w:tcPr>
          <w:p w14:paraId="2914AEEE">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c>
          <w:tcPr>
            <w:tcW w:w="2204" w:type="dxa"/>
            <w:gridSpan w:val="3"/>
            <w:shd w:val="clear" w:color="auto" w:fill="auto"/>
            <w:vAlign w:val="center"/>
          </w:tcPr>
          <w:p w14:paraId="18D38356">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t>/</w:t>
            </w:r>
          </w:p>
        </w:tc>
      </w:tr>
      <w:tr w14:paraId="1A19A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1" w:hRule="atLeast"/>
        </w:trPr>
        <w:tc>
          <w:tcPr>
            <w:tcW w:w="840" w:type="dxa"/>
            <w:vMerge w:val="continue"/>
            <w:shd w:val="clear" w:color="auto" w:fill="auto"/>
            <w:vAlign w:val="center"/>
          </w:tcPr>
          <w:p w14:paraId="75D2A4DB">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621" w:type="dxa"/>
            <w:vMerge w:val="continue"/>
            <w:shd w:val="clear" w:color="auto" w:fill="auto"/>
            <w:vAlign w:val="center"/>
          </w:tcPr>
          <w:p w14:paraId="2001781F">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color w:val="FF0000"/>
                <w:sz w:val="18"/>
                <w:szCs w:val="18"/>
              </w:rPr>
            </w:pPr>
          </w:p>
        </w:tc>
        <w:tc>
          <w:tcPr>
            <w:tcW w:w="1781" w:type="dxa"/>
            <w:shd w:val="clear" w:color="auto" w:fill="auto"/>
            <w:vAlign w:val="center"/>
          </w:tcPr>
          <w:p w14:paraId="222641BC">
            <w:pPr>
              <w:pStyle w:val="31"/>
              <w:keepNext w:val="0"/>
              <w:keepLines w:val="0"/>
              <w:pageBreakBefore w:val="0"/>
              <w:kinsoku/>
              <w:wordWrap/>
              <w:overflowPunct/>
              <w:topLinePunct w:val="0"/>
              <w:autoSpaceDE/>
              <w:autoSpaceDN/>
              <w:bidi w:val="0"/>
              <w:adjustRightInd/>
              <w:snapToGrid/>
              <w:spacing w:after="0"/>
              <w:jc w:val="center"/>
              <w:textAlignment w:val="auto"/>
              <w:rPr>
                <w:rFonts w:hint="eastAsia" w:ascii="Times New Roman" w:hAnsi="Times New Roman" w:eastAsia="微软雅黑" w:cs="Times New Roman"/>
                <w:color w:val="FF0000"/>
                <w:sz w:val="18"/>
                <w:szCs w:val="18"/>
                <w:lang w:eastAsia="zh-CN"/>
              </w:rPr>
            </w:pPr>
            <w:r>
              <w:rPr>
                <w:rFonts w:hint="eastAsia" w:ascii="Times New Roman" w:hAnsi="Times New Roman" w:cs="Times New Roman"/>
                <w:color w:val="000000" w:themeColor="text1"/>
                <w:sz w:val="18"/>
                <w:szCs w:val="18"/>
                <w:lang w:eastAsia="zh-CN"/>
                <w14:textFill>
                  <w14:solidFill>
                    <w14:schemeClr w14:val="tx1"/>
                  </w14:solidFill>
                </w14:textFill>
              </w:rPr>
              <w:t>总氮</w:t>
            </w:r>
          </w:p>
        </w:tc>
        <w:tc>
          <w:tcPr>
            <w:tcW w:w="977" w:type="dxa"/>
            <w:shd w:val="clear" w:color="auto" w:fill="auto"/>
            <w:vAlign w:val="center"/>
          </w:tcPr>
          <w:p w14:paraId="05411511">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684" w:type="dxa"/>
            <w:shd w:val="clear" w:color="auto" w:fill="auto"/>
            <w:vAlign w:val="center"/>
          </w:tcPr>
          <w:p w14:paraId="2136172A">
            <w:pPr>
              <w:pStyle w:val="4"/>
              <w:keepNext/>
              <w:keepLines/>
              <w:pageBreakBefore w:val="0"/>
              <w:widowControl w:val="0"/>
              <w:kinsoku/>
              <w:wordWrap/>
              <w:overflowPunct/>
              <w:topLinePunct w:val="0"/>
              <w:autoSpaceDE/>
              <w:autoSpaceDN/>
              <w:bidi w:val="0"/>
              <w:adjustRightInd/>
              <w:snapToGrid/>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bCs w:val="0"/>
                <w:color w:val="auto"/>
                <w:kern w:val="2"/>
                <w:sz w:val="18"/>
                <w:szCs w:val="18"/>
                <w:lang w:val="en-US" w:eastAsia="zh-CN" w:bidi="ar-SA"/>
              </w:rPr>
            </w:pPr>
            <w:r>
              <w:rPr>
                <w:rFonts w:hint="eastAsia" w:cs="Times New Roman" w:eastAsiaTheme="minorEastAsia"/>
                <w:b/>
                <w:bCs w:val="0"/>
                <w:color w:val="auto"/>
                <w:kern w:val="2"/>
                <w:sz w:val="18"/>
                <w:szCs w:val="18"/>
                <w:lang w:val="en-US" w:eastAsia="zh-CN" w:bidi="ar-SA"/>
              </w:rPr>
              <w:t>/</w:t>
            </w:r>
          </w:p>
        </w:tc>
        <w:tc>
          <w:tcPr>
            <w:tcW w:w="1379" w:type="dxa"/>
            <w:shd w:val="clear" w:color="auto" w:fill="auto"/>
            <w:vAlign w:val="center"/>
          </w:tcPr>
          <w:p w14:paraId="34CE9733">
            <w:pPr>
              <w:pStyle w:val="31"/>
              <w:keepNext w:val="0"/>
              <w:keepLines w:val="0"/>
              <w:pageBreakBefore w:val="0"/>
              <w:kinsoku/>
              <w:wordWrap/>
              <w:overflowPunct/>
              <w:topLinePunct w:val="0"/>
              <w:autoSpaceDE/>
              <w:autoSpaceDN/>
              <w:bidi w:val="0"/>
              <w:adjustRightInd/>
              <w:snapToGrid/>
              <w:spacing w:after="0"/>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34" w:type="dxa"/>
            <w:shd w:val="clear" w:color="auto" w:fill="auto"/>
            <w:vAlign w:val="center"/>
          </w:tcPr>
          <w:p w14:paraId="1E5782C7">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62" w:type="dxa"/>
            <w:shd w:val="clear" w:color="auto" w:fill="auto"/>
            <w:vAlign w:val="center"/>
          </w:tcPr>
          <w:p w14:paraId="4D74809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60" w:type="dxa"/>
            <w:shd w:val="clear" w:color="auto" w:fill="auto"/>
            <w:vAlign w:val="center"/>
          </w:tcPr>
          <w:p w14:paraId="11AC54A5">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1307" w:type="dxa"/>
            <w:shd w:val="clear" w:color="auto" w:fill="auto"/>
            <w:vAlign w:val="center"/>
          </w:tcPr>
          <w:p w14:paraId="24A1D614">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625" w:type="dxa"/>
            <w:shd w:val="clear" w:color="auto" w:fill="auto"/>
            <w:vAlign w:val="center"/>
          </w:tcPr>
          <w:p w14:paraId="6B8605A8">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329" w:type="dxa"/>
            <w:shd w:val="clear" w:color="auto" w:fill="auto"/>
            <w:vAlign w:val="center"/>
          </w:tcPr>
          <w:p w14:paraId="0EE5BF1A">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c>
          <w:tcPr>
            <w:tcW w:w="2061" w:type="dxa"/>
            <w:gridSpan w:val="2"/>
            <w:shd w:val="clear" w:color="auto" w:fill="auto"/>
            <w:vAlign w:val="center"/>
          </w:tcPr>
          <w:p w14:paraId="1A31A82D">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1079" w:type="dxa"/>
            <w:gridSpan w:val="2"/>
            <w:shd w:val="clear" w:color="auto" w:fill="auto"/>
            <w:vAlign w:val="center"/>
          </w:tcPr>
          <w:p w14:paraId="5CC59FAB">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default" w:ascii="Times New Roman" w:hAnsi="Times New Roman" w:cs="Times New Roman" w:eastAsiaTheme="minorEastAsia"/>
                <w:b/>
                <w:color w:val="auto"/>
                <w:kern w:val="2"/>
                <w:sz w:val="18"/>
                <w:szCs w:val="18"/>
                <w:lang w:val="en-US" w:eastAsia="zh-CN" w:bidi="ar-SA"/>
              </w:rPr>
              <w:t>/</w:t>
            </w:r>
          </w:p>
        </w:tc>
        <w:tc>
          <w:tcPr>
            <w:tcW w:w="2204" w:type="dxa"/>
            <w:gridSpan w:val="3"/>
            <w:shd w:val="clear" w:color="auto" w:fill="auto"/>
            <w:vAlign w:val="center"/>
          </w:tcPr>
          <w:p w14:paraId="5CA8E159">
            <w:pPr>
              <w:keepNext w:val="0"/>
              <w:keepLines w:val="0"/>
              <w:pageBreakBefore w:val="0"/>
              <w:kinsoku/>
              <w:wordWrap/>
              <w:overflowPunct/>
              <w:topLinePunct w:val="0"/>
              <w:autoSpaceDE/>
              <w:autoSpaceDN/>
              <w:bidi w:val="0"/>
              <w:adjustRightInd/>
              <w:snapToGrid/>
              <w:spacing w:after="0" w:line="240" w:lineRule="auto"/>
              <w:jc w:val="center"/>
              <w:textAlignment w:val="auto"/>
              <w:rPr>
                <w:rFonts w:hint="default" w:ascii="Times New Roman" w:hAnsi="Times New Roman" w:cs="Times New Roman" w:eastAsiaTheme="minorEastAsia"/>
                <w:b/>
                <w:color w:val="000000" w:themeColor="text1"/>
                <w:kern w:val="2"/>
                <w:sz w:val="18"/>
                <w:szCs w:val="18"/>
                <w:highlight w:val="none"/>
                <w:lang w:val="en-US" w:eastAsia="zh-CN" w:bidi="ar-SA"/>
                <w14:textFill>
                  <w14:solidFill>
                    <w14:schemeClr w14:val="tx1"/>
                  </w14:solidFill>
                </w14:textFill>
              </w:rPr>
            </w:pPr>
            <w:r>
              <w:rPr>
                <w:rFonts w:hint="eastAsia" w:ascii="Times New Roman" w:hAnsi="Times New Roman" w:cs="Times New Roman" w:eastAsiaTheme="minorEastAsia"/>
                <w:b/>
                <w:color w:val="auto"/>
                <w:kern w:val="2"/>
                <w:sz w:val="18"/>
                <w:szCs w:val="18"/>
                <w:lang w:val="en-US" w:eastAsia="zh-CN" w:bidi="ar-SA"/>
              </w:rPr>
              <w:t>/</w:t>
            </w:r>
          </w:p>
        </w:tc>
      </w:tr>
    </w:tbl>
    <w:p w14:paraId="22B52321">
      <w:pPr>
        <w:keepNext w:val="0"/>
        <w:keepLines w:val="0"/>
        <w:pageBreakBefore w:val="0"/>
        <w:widowControl/>
        <w:kinsoku/>
        <w:wordWrap/>
        <w:overflowPunct/>
        <w:topLinePunct w:val="0"/>
        <w:autoSpaceDE/>
        <w:autoSpaceDN/>
        <w:bidi w:val="0"/>
        <w:adjustRightInd/>
        <w:snapToGrid/>
        <w:spacing w:after="0" w:line="240" w:lineRule="auto"/>
        <w:textAlignment w:val="auto"/>
        <w:rPr>
          <w:rFonts w:hint="eastAsia" w:ascii="微软雅黑" w:hAnsi="微软雅黑" w:cs="微软雅黑"/>
          <w:color w:val="auto"/>
          <w:sz w:val="18"/>
          <w:highlight w:val="none"/>
          <w:lang w:eastAsia="zh-CN"/>
        </w:rPr>
        <w:sectPr>
          <w:pgSz w:w="23811" w:h="16838" w:orient="landscape"/>
          <w:pgMar w:top="1803" w:right="1440" w:bottom="1803"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微软雅黑" w:hAnsi="微软雅黑" w:eastAsia="微软雅黑" w:cs="微软雅黑"/>
          <w:color w:val="auto"/>
          <w:sz w:val="18"/>
        </w:rPr>
        <w:t>注：1、排放增减量：</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表示增加，</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表示减少。2、</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12</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6</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8</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11</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9</w:t>
      </w:r>
      <w:r>
        <w:rPr>
          <w:rFonts w:hint="eastAsia" w:ascii="微软雅黑" w:hAnsi="微软雅黑" w:cs="微软雅黑"/>
          <w:color w:val="auto"/>
          <w:sz w:val="18"/>
          <w:lang w:val="en-US" w:eastAsia="zh-CN"/>
        </w:rPr>
        <w:t>)</w:t>
      </w:r>
      <w:r>
        <w:rPr>
          <w:rFonts w:hint="eastAsia" w:ascii="微软雅黑" w:hAnsi="微软雅黑" w:eastAsia="微软雅黑" w:cs="微软雅黑"/>
          <w:color w:val="auto"/>
          <w:sz w:val="18"/>
        </w:rPr>
        <w:t>=(4)-(5)-(8)-(11)+(1)，3、计量单</w:t>
      </w:r>
      <w:r>
        <w:rPr>
          <w:rFonts w:hint="eastAsia" w:ascii="微软雅黑" w:hAnsi="微软雅黑" w:eastAsia="微软雅黑" w:cs="微软雅黑"/>
          <w:color w:val="auto"/>
          <w:sz w:val="18"/>
          <w:highlight w:val="none"/>
        </w:rPr>
        <w:t>位：废水排放量——万吨/年；废气排放量——万标立方米/年；工业固体废物排放量——万吨/年；水污染物排放浓度——毫克/升；大气污染物排放浓度——毫克/立方米；水污染物排放量——吨/年；大气污染物排放量——吨/年</w:t>
      </w:r>
      <w:r>
        <w:rPr>
          <w:rFonts w:hint="eastAsia" w:ascii="微软雅黑" w:hAnsi="微软雅黑" w:cs="微软雅黑"/>
          <w:color w:val="auto"/>
          <w:sz w:val="18"/>
          <w:highlight w:val="none"/>
          <w:lang w:eastAsia="zh-CN"/>
        </w:rPr>
        <w:t>。</w:t>
      </w:r>
    </w:p>
    <w:p w14:paraId="52B458CE">
      <w:pPr>
        <w:pStyle w:val="2"/>
        <w:keepNext/>
        <w:keepLines/>
        <w:pageBreakBefore w:val="0"/>
        <w:widowControl/>
        <w:kinsoku/>
        <w:wordWrap/>
        <w:overflowPunct/>
        <w:topLinePunct w:val="0"/>
        <w:autoSpaceDE/>
        <w:autoSpaceDN/>
        <w:bidi w:val="0"/>
        <w:adjustRightInd/>
        <w:snapToGrid/>
        <w:spacing w:before="0" w:beforeLines="0" w:after="0" w:afterLines="0" w:line="240" w:lineRule="auto"/>
        <w:textAlignment w:val="auto"/>
        <w:rPr>
          <w:rStyle w:val="32"/>
          <w:rFonts w:hint="default" w:ascii="Times New Roman" w:hAnsi="Times New Roman" w:cs="Times New Roman" w:eastAsiaTheme="minorEastAsia"/>
          <w:b/>
          <w:bCs/>
          <w:color w:val="auto"/>
          <w:sz w:val="30"/>
          <w:szCs w:val="30"/>
          <w:lang w:val="en-US" w:eastAsia="zh-CN"/>
        </w:rPr>
      </w:pPr>
      <w:r>
        <w:rPr>
          <w:rStyle w:val="32"/>
          <w:rFonts w:hint="default" w:ascii="Times New Roman" w:hAnsi="Times New Roman" w:cs="Times New Roman" w:eastAsiaTheme="minorEastAsia"/>
          <w:b/>
          <w:bCs/>
          <w:color w:val="auto"/>
          <w:sz w:val="30"/>
          <w:szCs w:val="30"/>
          <w:lang w:val="en-US" w:eastAsia="zh-CN"/>
        </w:rPr>
        <w:t>附图一 项目地理位置图</w:t>
      </w:r>
    </w:p>
    <w:p w14:paraId="4D6AC39F">
      <w:pPr>
        <w:pStyle w:val="2"/>
        <w:keepNext/>
        <w:keepLines/>
        <w:pageBreakBefore w:val="0"/>
        <w:widowControl/>
        <w:kinsoku/>
        <w:wordWrap/>
        <w:overflowPunct/>
        <w:topLinePunct w:val="0"/>
        <w:autoSpaceDE/>
        <w:autoSpaceDN/>
        <w:bidi w:val="0"/>
        <w:adjustRightInd/>
        <w:snapToGrid/>
        <w:spacing w:before="0" w:beforeLines="0" w:after="0" w:afterLines="0" w:line="240" w:lineRule="auto"/>
        <w:jc w:val="center"/>
        <w:textAlignment w:val="auto"/>
        <w:rPr>
          <w:rFonts w:hint="eastAsia"/>
          <w:lang w:val="en-US" w:eastAsia="zh-CN"/>
        </w:rPr>
        <w:sectPr>
          <w:footerReference r:id="rId5" w:type="default"/>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sz w:val="21"/>
        </w:rPr>
        <mc:AlternateContent>
          <mc:Choice Requires="wps">
            <w:drawing>
              <wp:anchor distT="0" distB="0" distL="114300" distR="114300" simplePos="0" relativeHeight="251662336" behindDoc="0" locked="0" layoutInCell="1" allowOverlap="1">
                <wp:simplePos x="0" y="0"/>
                <wp:positionH relativeFrom="column">
                  <wp:posOffset>3810</wp:posOffset>
                </wp:positionH>
                <wp:positionV relativeFrom="paragraph">
                  <wp:posOffset>13970</wp:posOffset>
                </wp:positionV>
                <wp:extent cx="5778500" cy="8276590"/>
                <wp:effectExtent l="6350" t="6350" r="6350" b="22860"/>
                <wp:wrapNone/>
                <wp:docPr id="37" name="矩形 37"/>
                <wp:cNvGraphicFramePr/>
                <a:graphic xmlns:a="http://schemas.openxmlformats.org/drawingml/2006/main">
                  <a:graphicData uri="http://schemas.microsoft.com/office/word/2010/wordprocessingShape">
                    <wps:wsp>
                      <wps:cNvSpPr/>
                      <wps:spPr>
                        <a:xfrm>
                          <a:off x="903605" y="1342390"/>
                          <a:ext cx="5778500" cy="8276590"/>
                        </a:xfrm>
                        <a:prstGeom prst="rect">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3pt;margin-top:1.1pt;height:651.7pt;width:455pt;z-index:251662336;v-text-anchor:middle;mso-width-relative:page;mso-height-relative:page;" filled="f" stroked="t" coordsize="21600,21600" o:gfxdata="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HpsDLbUAAAABwEAAA8AAAAAAAAAAQAgAAAAIgAAAGRycy9kb3ducmV2&#10;LnhtbFBLAQIUABQAAAAIAIdO4kAHGl6fcgIAANkEAAAOAAAAAAAAAAEAIAAAACMBAABkcnMvZTJv&#10;RG9jLnhtbFBLBQYAAAAABgAGAFkBAAAHBgAAAAA=&#10;">
                <v:fill on="f" focussize="0,0"/>
                <v:stroke weight="1pt" color="#000000 [3213]" miterlimit="8" joinstyle="miter"/>
                <v:imagedata o:title=""/>
                <o:lock v:ext="edit" aspectratio="f"/>
              </v:rect>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2216785</wp:posOffset>
                </wp:positionH>
                <wp:positionV relativeFrom="paragraph">
                  <wp:posOffset>3917950</wp:posOffset>
                </wp:positionV>
                <wp:extent cx="786130" cy="338455"/>
                <wp:effectExtent l="6350" t="6350" r="7620" b="855345"/>
                <wp:wrapNone/>
                <wp:docPr id="12" name="圆角矩形标注 12"/>
                <wp:cNvGraphicFramePr/>
                <a:graphic xmlns:a="http://schemas.openxmlformats.org/drawingml/2006/main">
                  <a:graphicData uri="http://schemas.microsoft.com/office/word/2010/wordprocessingShape">
                    <wps:wsp>
                      <wps:cNvSpPr/>
                      <wps:spPr>
                        <a:xfrm>
                          <a:off x="0" y="0"/>
                          <a:ext cx="786130" cy="338455"/>
                        </a:xfrm>
                        <a:prstGeom prst="wedgeRoundRectCallout">
                          <a:avLst>
                            <a:gd name="adj1" fmla="val -21890"/>
                            <a:gd name="adj2" fmla="val 284709"/>
                            <a:gd name="adj3" fmla="val 1666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E6A7D5">
                            <w:pPr>
                              <w:jc w:val="center"/>
                              <w:rPr>
                                <w:rFonts w:hint="eastAsia" w:eastAsiaTheme="minorEastAsia"/>
                                <w:color w:val="0000FF"/>
                                <w:sz w:val="20"/>
                                <w:szCs w:val="20"/>
                                <w:lang w:eastAsia="zh-CN"/>
                              </w:rPr>
                            </w:pPr>
                            <w:r>
                              <w:rPr>
                                <w:rFonts w:hint="eastAsia"/>
                                <w:color w:val="0000FF"/>
                                <w:sz w:val="20"/>
                                <w:szCs w:val="20"/>
                                <w:lang w:eastAsia="zh-CN"/>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74.55pt;margin-top:308.5pt;height:26.65pt;width:61.9pt;z-index:251661312;v-text-anchor:middle;mso-width-relative:page;mso-height-relative:page;" fillcolor="#FFFFFF [3212]" filled="t" stroked="t" coordsize="21600,21600" o:gfxdata="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HlyG2/Z&#10;AAAACwEAAA8AAAAAAAAAAQAgAAAAIgAAAGRycy9kb3ducmV2LnhtbFBLAQIUABQAAAAIAIdO4kB9&#10;k87rygIAAJQFAAAOAAAAAAAAAAEAIAAAACgBAABkcnMvZTJvRG9jLnhtbFBLBQYAAAAABgAGAFkB&#10;AABkBgAAAAA=&#10;" adj="6072,72297,14400">
                <v:fill on="t" focussize="0,0"/>
                <v:stroke weight="1pt" color="#FF0000 [3204]" miterlimit="8" joinstyle="miter"/>
                <v:imagedata o:title=""/>
                <o:lock v:ext="edit" aspectratio="f"/>
                <v:textbox>
                  <w:txbxContent>
                    <w:p w14:paraId="53E6A7D5">
                      <w:pPr>
                        <w:jc w:val="center"/>
                        <w:rPr>
                          <w:rFonts w:hint="eastAsia" w:eastAsiaTheme="minorEastAsia"/>
                          <w:color w:val="0000FF"/>
                          <w:sz w:val="20"/>
                          <w:szCs w:val="20"/>
                          <w:lang w:eastAsia="zh-CN"/>
                        </w:rPr>
                      </w:pPr>
                      <w:r>
                        <w:rPr>
                          <w:rFonts w:hint="eastAsia"/>
                          <w:color w:val="0000FF"/>
                          <w:sz w:val="20"/>
                          <w:szCs w:val="20"/>
                          <w:lang w:eastAsia="zh-CN"/>
                        </w:rPr>
                        <w:t>本项目</w:t>
                      </w:r>
                    </w:p>
                  </w:txbxContent>
                </v:textbox>
              </v:shape>
            </w:pict>
          </mc:Fallback>
        </mc:AlternateContent>
      </w:r>
      <w:r>
        <w:rPr>
          <w:sz w:val="32"/>
        </w:rPr>
        <mc:AlternateContent>
          <mc:Choice Requires="wps">
            <w:drawing>
              <wp:anchor distT="0" distB="0" distL="114300" distR="114300" simplePos="0" relativeHeight="251660288" behindDoc="0" locked="0" layoutInCell="1" allowOverlap="1">
                <wp:simplePos x="0" y="0"/>
                <wp:positionH relativeFrom="column">
                  <wp:posOffset>2369185</wp:posOffset>
                </wp:positionH>
                <wp:positionV relativeFrom="paragraph">
                  <wp:posOffset>5016500</wp:posOffset>
                </wp:positionV>
                <wp:extent cx="150495" cy="150495"/>
                <wp:effectExtent l="19050" t="21590" r="20955" b="18415"/>
                <wp:wrapNone/>
                <wp:docPr id="11" name="五角星 11"/>
                <wp:cNvGraphicFramePr/>
                <a:graphic xmlns:a="http://schemas.openxmlformats.org/drawingml/2006/main">
                  <a:graphicData uri="http://schemas.microsoft.com/office/word/2010/wordprocessingShape">
                    <wps:wsp>
                      <wps:cNvSpPr/>
                      <wps:spPr>
                        <a:xfrm>
                          <a:off x="0" y="0"/>
                          <a:ext cx="150495" cy="150495"/>
                        </a:xfrm>
                        <a:prstGeom prst="star5">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86.55pt;margin-top:395pt;height:11.85pt;width:11.85pt;z-index:251660288;v-text-anchor:middle;mso-width-relative:page;mso-height-relative:page;" fillcolor="#FF0000" filled="t" stroked="t" coordsize="150495,150495" o:gfxdata="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Pv1zztcAAAALAQAADwAAAAAAAAABACAAAAAiAAAAZHJzL2Rvd25y&#10;ZXYueG1sUEsBAhQAFAAAAAgAh07iQEVNn75xAgAA+QQAAA4AAAAAAAAAAQAgAAAAJgEAAGRycy9l&#10;Mm9Eb2MueG1sUEsFBgAAAAAGAAYAWQEAAAkGAAAAAA==&#10;" path="m0,57483l57484,57484,75247,0,93010,57484,150494,57483,103988,93010,121752,150494,75247,114967,28742,150494,46506,93010xe">
                <v:path o:connectlocs="75247,0;0,57483;28742,150494;121752,150494;150494,57483" o:connectangles="247,164,82,82,0"/>
                <v:fill on="t" focussize="0,0"/>
                <v:stroke weight="1pt" color="#000000 [3213]" miterlimit="8" joinstyle="miter"/>
                <v:imagedata o:title=""/>
                <o:lock v:ext="edit" aspectratio="f"/>
              </v:shape>
            </w:pict>
          </mc:Fallback>
        </mc:AlternateContent>
      </w:r>
      <w:r>
        <w:rPr>
          <w:rFonts w:hint="eastAsia" w:eastAsia="宋体"/>
          <w:sz w:val="32"/>
          <w:szCs w:val="32"/>
          <w:lang w:eastAsia="zh-CN"/>
        </w:rPr>
        <w:drawing>
          <wp:inline distT="0" distB="0" distL="114300" distR="114300">
            <wp:extent cx="5774690" cy="8263255"/>
            <wp:effectExtent l="0" t="0" r="16510" b="4445"/>
            <wp:docPr id="1" name="图片 1" descr="554796660264618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54796660264618947"/>
                    <pic:cNvPicPr>
                      <a:picLocks noChangeAspect="1"/>
                    </pic:cNvPicPr>
                  </pic:nvPicPr>
                  <pic:blipFill>
                    <a:blip r:embed="rId9"/>
                    <a:stretch>
                      <a:fillRect/>
                    </a:stretch>
                  </pic:blipFill>
                  <pic:spPr>
                    <a:xfrm>
                      <a:off x="0" y="0"/>
                      <a:ext cx="5774690" cy="8263255"/>
                    </a:xfrm>
                    <a:prstGeom prst="rect">
                      <a:avLst/>
                    </a:prstGeom>
                    <a:noFill/>
                    <a:ln>
                      <a:noFill/>
                    </a:ln>
                  </pic:spPr>
                </pic:pic>
              </a:graphicData>
            </a:graphic>
          </wp:inline>
        </w:drawing>
      </w:r>
    </w:p>
    <w:p w14:paraId="60F3CA29">
      <w:pPr>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cs="Times New Roman" w:eastAsiaTheme="minorEastAsia"/>
          <w:b/>
          <w:bCs/>
          <w:color w:val="000000" w:themeColor="text1"/>
          <w:sz w:val="30"/>
          <w:szCs w:val="30"/>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30"/>
          <w:szCs w:val="30"/>
          <w:lang w:eastAsia="zh-CN"/>
          <w14:textFill>
            <w14:solidFill>
              <w14:schemeClr w14:val="tx1"/>
            </w14:solidFill>
          </w14:textFill>
        </w:rPr>
        <w:t>附图二</w:t>
      </w:r>
      <w:r>
        <w:rPr>
          <w:rFonts w:hint="default" w:ascii="Times New Roman" w:hAnsi="Times New Roman" w:cs="Times New Roman" w:eastAsiaTheme="minorEastAsia"/>
          <w:b/>
          <w:bCs/>
          <w:color w:val="000000" w:themeColor="text1"/>
          <w:sz w:val="30"/>
          <w:szCs w:val="30"/>
          <w:lang w:val="en-US" w:eastAsia="zh-CN"/>
          <w14:textFill>
            <w14:solidFill>
              <w14:schemeClr w14:val="tx1"/>
            </w14:solidFill>
          </w14:textFill>
        </w:rPr>
        <w:t xml:space="preserve"> 项目周边环境图</w:t>
      </w:r>
    </w:p>
    <w:p w14:paraId="2F0C4BC2">
      <w:pPr>
        <w:jc w:val="center"/>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8216265" cy="5160010"/>
            <wp:effectExtent l="0" t="0" r="13335" b="2540"/>
            <wp:docPr id="3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4"/>
                    <pic:cNvPicPr>
                      <a:picLocks noChangeAspect="1"/>
                    </pic:cNvPicPr>
                  </pic:nvPicPr>
                  <pic:blipFill>
                    <a:blip r:embed="rId10"/>
                    <a:stretch>
                      <a:fillRect/>
                    </a:stretch>
                  </pic:blipFill>
                  <pic:spPr>
                    <a:xfrm>
                      <a:off x="0" y="0"/>
                      <a:ext cx="8216265" cy="5160010"/>
                    </a:xfrm>
                    <a:prstGeom prst="rect">
                      <a:avLst/>
                    </a:prstGeom>
                    <a:noFill/>
                    <a:ln>
                      <a:noFill/>
                    </a:ln>
                  </pic:spPr>
                </pic:pic>
              </a:graphicData>
            </a:graphic>
          </wp:inline>
        </w:drawing>
      </w:r>
    </w:p>
    <w:p w14:paraId="693009CF">
      <w:pPr>
        <w:pStyle w:val="2"/>
        <w:keepNext/>
        <w:keepLines/>
        <w:pageBreakBefore w:val="0"/>
        <w:widowControl/>
        <w:kinsoku/>
        <w:wordWrap/>
        <w:overflowPunct/>
        <w:topLinePunct w:val="0"/>
        <w:autoSpaceDE/>
        <w:autoSpaceDN/>
        <w:bidi w:val="0"/>
        <w:adjustRightInd w:val="0"/>
        <w:snapToGrid w:val="0"/>
        <w:spacing w:before="0" w:beforeLines="0" w:after="0" w:afterLines="0" w:line="240" w:lineRule="auto"/>
        <w:textAlignment w:val="auto"/>
        <w:rPr>
          <w:rFonts w:hint="default" w:ascii="Times New Roman" w:hAnsi="Times New Roman" w:cs="Times New Roman" w:eastAsiaTheme="minorEastAsia"/>
          <w:b/>
          <w:bCs/>
          <w:color w:val="000000" w:themeColor="text1"/>
          <w:kern w:val="0"/>
          <w:sz w:val="30"/>
          <w:szCs w:val="30"/>
          <w:lang w:val="en-US" w:eastAsia="zh-CN" w:bidi="ar-SA"/>
          <w14:textFill>
            <w14:solidFill>
              <w14:schemeClr w14:val="tx1"/>
            </w14:solidFill>
          </w14:textFill>
        </w:rPr>
      </w:pPr>
      <w:r>
        <w:rPr>
          <w:rFonts w:hint="eastAsia" w:ascii="Times New Roman" w:hAnsi="Times New Roman" w:cs="Times New Roman" w:eastAsiaTheme="minorEastAsia"/>
          <w:b/>
          <w:bCs/>
          <w:color w:val="000000" w:themeColor="text1"/>
          <w:kern w:val="0"/>
          <w:sz w:val="30"/>
          <w:szCs w:val="30"/>
          <w:lang w:val="en-US" w:eastAsia="zh-CN" w:bidi="ar-SA"/>
          <w14:textFill>
            <w14:solidFill>
              <w14:schemeClr w14:val="tx1"/>
            </w14:solidFill>
          </w14:textFill>
        </w:rPr>
        <w:t>附图三 项目平面布置图</w:t>
      </w:r>
    </w:p>
    <w:p w14:paraId="03A5C9B4">
      <w:pPr>
        <w:jc w:val="center"/>
        <w:rPr>
          <w:rFonts w:hint="eastAsia"/>
          <w:lang w:val="en-US" w:eastAsia="zh-CN"/>
        </w:rPr>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8860155" cy="2131695"/>
            <wp:effectExtent l="0" t="0" r="17145" b="190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1"/>
                    <a:stretch>
                      <a:fillRect/>
                    </a:stretch>
                  </pic:blipFill>
                  <pic:spPr>
                    <a:xfrm>
                      <a:off x="0" y="0"/>
                      <a:ext cx="8860155" cy="2131695"/>
                    </a:xfrm>
                    <a:prstGeom prst="rect">
                      <a:avLst/>
                    </a:prstGeom>
                    <a:noFill/>
                    <a:ln>
                      <a:noFill/>
                    </a:ln>
                  </pic:spPr>
                </pic:pic>
              </a:graphicData>
            </a:graphic>
          </wp:inline>
        </w:drawing>
      </w:r>
    </w:p>
    <w:p w14:paraId="306A7AC5">
      <w:pPr>
        <w:keepNext w:val="0"/>
        <w:keepLines w:val="0"/>
        <w:pageBreakBefore w:val="0"/>
        <w:widowControl/>
        <w:kinsoku/>
        <w:wordWrap/>
        <w:overflowPunct/>
        <w:topLinePunct w:val="0"/>
        <w:autoSpaceDE/>
        <w:autoSpaceDN/>
        <w:bidi w:val="0"/>
        <w:adjustRightInd/>
        <w:snapToGrid/>
        <w:spacing w:after="0" w:line="520" w:lineRule="exact"/>
        <w:textAlignment w:val="auto"/>
        <w:rPr>
          <w:rFonts w:hint="default" w:ascii="Times New Roman" w:hAnsi="Times New Roman" w:cs="Times New Roman" w:eastAsiaTheme="minorEastAsia"/>
          <w:b/>
          <w:bCs/>
          <w:color w:val="auto"/>
          <w:kern w:val="44"/>
          <w:sz w:val="30"/>
          <w:szCs w:val="30"/>
          <w:lang w:val="en-US" w:eastAsia="zh-CN" w:bidi="ar-SA"/>
        </w:rPr>
      </w:pPr>
      <w:r>
        <w:rPr>
          <w:rFonts w:hint="default" w:ascii="Times New Roman" w:hAnsi="Times New Roman" w:cs="Times New Roman" w:eastAsiaTheme="minorEastAsia"/>
          <w:b/>
          <w:bCs/>
          <w:color w:val="auto"/>
          <w:kern w:val="44"/>
          <w:sz w:val="30"/>
          <w:szCs w:val="30"/>
          <w:lang w:val="en-US" w:eastAsia="zh-CN" w:bidi="ar-SA"/>
        </w:rPr>
        <w:t>附</w:t>
      </w:r>
      <w:r>
        <w:rPr>
          <w:rFonts w:hint="default" w:ascii="Times New Roman" w:hAnsi="Times New Roman" w:cs="Times New Roman" w:eastAsiaTheme="minorEastAsia"/>
          <w:b/>
          <w:bCs/>
          <w:color w:val="auto"/>
          <w:kern w:val="44"/>
          <w:sz w:val="30"/>
          <w:szCs w:val="30"/>
          <w:highlight w:val="none"/>
          <w:lang w:val="en-US" w:eastAsia="zh-CN" w:bidi="ar-SA"/>
        </w:rPr>
        <w:t>件</w:t>
      </w:r>
      <w:r>
        <w:rPr>
          <w:rFonts w:hint="eastAsia" w:ascii="Times New Roman" w:hAnsi="Times New Roman" w:cs="Times New Roman" w:eastAsiaTheme="minorEastAsia"/>
          <w:b/>
          <w:bCs/>
          <w:color w:val="auto"/>
          <w:kern w:val="44"/>
          <w:sz w:val="30"/>
          <w:szCs w:val="30"/>
          <w:highlight w:val="none"/>
          <w:lang w:val="en-US" w:eastAsia="zh-CN" w:bidi="ar-SA"/>
        </w:rPr>
        <w:t>1</w:t>
      </w:r>
      <w:r>
        <w:rPr>
          <w:rFonts w:hint="default" w:ascii="Times New Roman" w:hAnsi="Times New Roman" w:cs="Times New Roman" w:eastAsiaTheme="minorEastAsia"/>
          <w:b/>
          <w:bCs/>
          <w:color w:val="auto"/>
          <w:kern w:val="44"/>
          <w:sz w:val="30"/>
          <w:szCs w:val="30"/>
          <w:highlight w:val="none"/>
          <w:lang w:val="en-US" w:eastAsia="zh-CN" w:bidi="ar-SA"/>
        </w:rPr>
        <w:t xml:space="preserve"> 环境影响评价批复</w:t>
      </w:r>
    </w:p>
    <w:p w14:paraId="52A155FA">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920105" cy="8210550"/>
            <wp:effectExtent l="0" t="0" r="4445" b="0"/>
            <wp:docPr id="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3"/>
                    <pic:cNvPicPr>
                      <a:picLocks noChangeAspect="1"/>
                    </pic:cNvPicPr>
                  </pic:nvPicPr>
                  <pic:blipFill>
                    <a:blip r:embed="rId12"/>
                    <a:stretch>
                      <a:fillRect/>
                    </a:stretch>
                  </pic:blipFill>
                  <pic:spPr>
                    <a:xfrm>
                      <a:off x="0" y="0"/>
                      <a:ext cx="5920105" cy="8210550"/>
                    </a:xfrm>
                    <a:prstGeom prst="rect">
                      <a:avLst/>
                    </a:prstGeom>
                    <a:noFill/>
                    <a:ln>
                      <a:noFill/>
                    </a:ln>
                  </pic:spPr>
                </pic:pic>
              </a:graphicData>
            </a:graphic>
          </wp:inline>
        </w:drawing>
      </w:r>
    </w:p>
    <w:p w14:paraId="2644DD45">
      <w:pPr>
        <w:pStyle w:val="22"/>
        <w:rPr>
          <w:rFonts w:hint="eastAsia" w:ascii="Times New Roman" w:cs="Times New Roman" w:eastAsiaTheme="minorEastAsia"/>
          <w:b/>
          <w:bCs/>
          <w:color w:val="auto"/>
          <w:kern w:val="44"/>
          <w:sz w:val="30"/>
          <w:szCs w:val="30"/>
          <w:lang w:val="en-US" w:eastAsia="zh-CN" w:bidi="ar-SA"/>
        </w:rPr>
      </w:pPr>
      <w:r>
        <w:rPr>
          <w:rFonts w:hint="eastAsia" w:ascii="Times New Roman" w:hAnsi="Times New Roman" w:cs="Times New Roman" w:eastAsiaTheme="minorEastAsia"/>
          <w:b/>
          <w:bCs/>
          <w:color w:val="auto"/>
          <w:kern w:val="44"/>
          <w:sz w:val="30"/>
          <w:szCs w:val="30"/>
          <w:lang w:val="en-US" w:eastAsia="zh-CN" w:bidi="ar-SA"/>
        </w:rPr>
        <w:t>附件</w:t>
      </w:r>
      <w:r>
        <w:rPr>
          <w:rFonts w:hint="eastAsia" w:ascii="Times New Roman" w:cs="Times New Roman" w:eastAsiaTheme="minorEastAsia"/>
          <w:b/>
          <w:bCs/>
          <w:color w:val="auto"/>
          <w:kern w:val="44"/>
          <w:sz w:val="30"/>
          <w:szCs w:val="30"/>
          <w:lang w:val="en-US" w:eastAsia="zh-CN" w:bidi="ar-SA"/>
        </w:rPr>
        <w:t>2</w:t>
      </w:r>
      <w:r>
        <w:rPr>
          <w:rFonts w:hint="eastAsia" w:ascii="Times New Roman" w:hAnsi="Times New Roman" w:cs="Times New Roman" w:eastAsiaTheme="minorEastAsia"/>
          <w:b/>
          <w:bCs/>
          <w:color w:val="auto"/>
          <w:kern w:val="44"/>
          <w:sz w:val="30"/>
          <w:szCs w:val="30"/>
          <w:lang w:val="en-US" w:eastAsia="zh-CN" w:bidi="ar-SA"/>
        </w:rPr>
        <w:t xml:space="preserve"> </w:t>
      </w:r>
      <w:r>
        <w:rPr>
          <w:rFonts w:hint="eastAsia" w:ascii="Times New Roman" w:cs="Times New Roman" w:eastAsiaTheme="minorEastAsia"/>
          <w:b/>
          <w:bCs/>
          <w:color w:val="auto"/>
          <w:kern w:val="44"/>
          <w:sz w:val="30"/>
          <w:szCs w:val="30"/>
          <w:lang w:val="en-US" w:eastAsia="zh-CN" w:bidi="ar-SA"/>
        </w:rPr>
        <w:t>排污许可证</w:t>
      </w:r>
    </w:p>
    <w:p w14:paraId="019FE897">
      <w:pPr>
        <w:pStyle w:val="22"/>
        <w:jc w:val="center"/>
        <w:rPr>
          <w:rFonts w:hint="default" w:ascii="Times New Roman" w:cs="Times New Roman" w:eastAsiaTheme="minorEastAsia"/>
          <w:b/>
          <w:bCs/>
          <w:color w:val="auto"/>
          <w:kern w:val="44"/>
          <w:sz w:val="30"/>
          <w:szCs w:val="30"/>
          <w:lang w:val="en-US" w:eastAsia="zh-CN" w:bidi="ar-SA"/>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cs="Times New Roman" w:eastAsiaTheme="minorEastAsia"/>
          <w:b/>
          <w:bCs/>
          <w:color w:val="auto"/>
          <w:kern w:val="44"/>
          <w:sz w:val="30"/>
          <w:szCs w:val="30"/>
          <w:lang w:val="en-US" w:eastAsia="zh-CN" w:bidi="ar-SA"/>
        </w:rPr>
        <w:drawing>
          <wp:inline distT="0" distB="0" distL="114300" distR="114300">
            <wp:extent cx="5749925" cy="8016240"/>
            <wp:effectExtent l="0" t="0" r="3175" b="3810"/>
            <wp:docPr id="34" name="图片 34" descr="0cd205d188904f0ed4f067e060a986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0cd205d188904f0ed4f067e060a986f5"/>
                    <pic:cNvPicPr>
                      <a:picLocks noChangeAspect="1"/>
                    </pic:cNvPicPr>
                  </pic:nvPicPr>
                  <pic:blipFill>
                    <a:blip r:embed="rId13"/>
                    <a:stretch>
                      <a:fillRect/>
                    </a:stretch>
                  </pic:blipFill>
                  <pic:spPr>
                    <a:xfrm rot="10800000">
                      <a:off x="0" y="0"/>
                      <a:ext cx="5749925" cy="8016240"/>
                    </a:xfrm>
                    <a:prstGeom prst="rect">
                      <a:avLst/>
                    </a:prstGeom>
                  </pic:spPr>
                </pic:pic>
              </a:graphicData>
            </a:graphic>
          </wp:inline>
        </w:drawing>
      </w:r>
    </w:p>
    <w:p w14:paraId="520CBEE2">
      <w:pPr>
        <w:pStyle w:val="22"/>
        <w:jc w:val="both"/>
        <w:rPr>
          <w:rFonts w:hint="default" w:ascii="Times New Roman" w:hAnsi="Times New Roman" w:cs="Times New Roman" w:eastAsiaTheme="minorEastAsia"/>
          <w:b/>
          <w:bCs/>
          <w:color w:val="auto"/>
          <w:kern w:val="44"/>
          <w:sz w:val="30"/>
          <w:szCs w:val="30"/>
          <w:highlight w:val="none"/>
          <w:lang w:val="en-US" w:eastAsia="zh-CN" w:bidi="ar-SA"/>
        </w:rPr>
      </w:pPr>
      <w:r>
        <w:rPr>
          <w:rFonts w:hint="eastAsia" w:ascii="Times New Roman" w:hAnsi="Times New Roman" w:cs="Times New Roman" w:eastAsiaTheme="minorEastAsia"/>
          <w:b/>
          <w:bCs/>
          <w:color w:val="auto"/>
          <w:kern w:val="44"/>
          <w:sz w:val="30"/>
          <w:szCs w:val="30"/>
          <w:highlight w:val="none"/>
          <w:lang w:val="en-US" w:eastAsia="zh-CN" w:bidi="ar-SA"/>
        </w:rPr>
        <w:t>附件</w:t>
      </w:r>
      <w:r>
        <w:rPr>
          <w:rFonts w:hint="eastAsia" w:ascii="Times New Roman" w:cs="Times New Roman" w:eastAsiaTheme="minorEastAsia"/>
          <w:b/>
          <w:bCs/>
          <w:color w:val="auto"/>
          <w:kern w:val="44"/>
          <w:sz w:val="30"/>
          <w:szCs w:val="30"/>
          <w:highlight w:val="none"/>
          <w:lang w:val="en-US" w:eastAsia="zh-CN" w:bidi="ar-SA"/>
        </w:rPr>
        <w:t>3</w:t>
      </w:r>
      <w:r>
        <w:rPr>
          <w:rFonts w:hint="eastAsia" w:ascii="Times New Roman" w:hAnsi="Times New Roman" w:cs="Times New Roman" w:eastAsiaTheme="minorEastAsia"/>
          <w:b/>
          <w:bCs/>
          <w:color w:val="auto"/>
          <w:kern w:val="44"/>
          <w:sz w:val="30"/>
          <w:szCs w:val="30"/>
          <w:highlight w:val="none"/>
          <w:lang w:val="en-US" w:eastAsia="zh-CN" w:bidi="ar-SA"/>
        </w:rPr>
        <w:t xml:space="preserve"> 废沙回收协议</w:t>
      </w:r>
    </w:p>
    <w:p w14:paraId="1AA2C618">
      <w:pPr>
        <w:pStyle w:val="22"/>
        <w:jc w:val="both"/>
        <w:rPr>
          <w:rFonts w:hint="eastAsia" w:ascii="Times New Roman" w:hAnsi="Times New Roman" w:cs="Times New Roman" w:eastAsiaTheme="minorEastAsia"/>
          <w:b/>
          <w:bCs/>
          <w:color w:val="auto"/>
          <w:kern w:val="44"/>
          <w:sz w:val="30"/>
          <w:szCs w:val="30"/>
          <w:highlight w:val="none"/>
          <w:lang w:val="en-US" w:eastAsia="zh-CN" w:bidi="ar-SA"/>
        </w:rPr>
      </w:pPr>
      <w:r>
        <w:drawing>
          <wp:inline distT="0" distB="0" distL="114300" distR="114300">
            <wp:extent cx="5859145" cy="8326120"/>
            <wp:effectExtent l="0" t="0" r="8255" b="1778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4"/>
                    <a:stretch>
                      <a:fillRect/>
                    </a:stretch>
                  </pic:blipFill>
                  <pic:spPr>
                    <a:xfrm>
                      <a:off x="0" y="0"/>
                      <a:ext cx="5859145" cy="8326120"/>
                    </a:xfrm>
                    <a:prstGeom prst="rect">
                      <a:avLst/>
                    </a:prstGeom>
                    <a:noFill/>
                    <a:ln>
                      <a:noFill/>
                    </a:ln>
                  </pic:spPr>
                </pic:pic>
              </a:graphicData>
            </a:graphic>
          </wp:inline>
        </w:drawing>
      </w:r>
    </w:p>
    <w:p w14:paraId="24727C97">
      <w:pPr>
        <w:pStyle w:val="22"/>
        <w:jc w:val="both"/>
        <w:rPr>
          <w:rFonts w:hint="default" w:ascii="Times New Roman" w:hAnsi="Times New Roman" w:cs="Times New Roman" w:eastAsiaTheme="minorEastAsia"/>
          <w:b/>
          <w:bCs/>
          <w:color w:val="auto"/>
          <w:kern w:val="44"/>
          <w:sz w:val="30"/>
          <w:szCs w:val="30"/>
          <w:highlight w:val="none"/>
          <w:lang w:val="en-US" w:eastAsia="zh-CN" w:bidi="ar-SA"/>
        </w:rPr>
      </w:pPr>
      <w:r>
        <w:rPr>
          <w:rFonts w:hint="eastAsia" w:ascii="Times New Roman" w:hAnsi="Times New Roman" w:cs="Times New Roman" w:eastAsiaTheme="minorEastAsia"/>
          <w:b/>
          <w:bCs/>
          <w:color w:val="auto"/>
          <w:kern w:val="44"/>
          <w:sz w:val="30"/>
          <w:szCs w:val="30"/>
          <w:highlight w:val="none"/>
          <w:lang w:val="en-US" w:eastAsia="zh-CN" w:bidi="ar-SA"/>
        </w:rPr>
        <w:t>附件</w:t>
      </w:r>
      <w:r>
        <w:rPr>
          <w:rFonts w:hint="eastAsia" w:ascii="Times New Roman" w:cs="Times New Roman" w:eastAsiaTheme="minorEastAsia"/>
          <w:b/>
          <w:bCs/>
          <w:color w:val="auto"/>
          <w:kern w:val="44"/>
          <w:sz w:val="30"/>
          <w:szCs w:val="30"/>
          <w:highlight w:val="none"/>
          <w:lang w:val="en-US" w:eastAsia="zh-CN" w:bidi="ar-SA"/>
        </w:rPr>
        <w:t>4</w:t>
      </w:r>
      <w:r>
        <w:rPr>
          <w:rFonts w:hint="eastAsia" w:ascii="Times New Roman" w:hAnsi="Times New Roman" w:cs="Times New Roman" w:eastAsiaTheme="minorEastAsia"/>
          <w:b/>
          <w:bCs/>
          <w:color w:val="auto"/>
          <w:kern w:val="44"/>
          <w:sz w:val="30"/>
          <w:szCs w:val="30"/>
          <w:highlight w:val="none"/>
          <w:lang w:val="en-US" w:eastAsia="zh-CN" w:bidi="ar-SA"/>
        </w:rPr>
        <w:t xml:space="preserve"> </w:t>
      </w:r>
      <w:r>
        <w:rPr>
          <w:rFonts w:hint="default" w:ascii="Times New Roman" w:hAnsi="Times New Roman" w:cs="Times New Roman" w:eastAsiaTheme="minorEastAsia"/>
          <w:b/>
          <w:bCs/>
          <w:color w:val="auto"/>
          <w:kern w:val="44"/>
          <w:sz w:val="30"/>
          <w:szCs w:val="30"/>
          <w:highlight w:val="none"/>
          <w:lang w:val="en-US" w:eastAsia="zh-CN" w:bidi="ar-SA"/>
        </w:rPr>
        <w:t>验收</w:t>
      </w:r>
      <w:r>
        <w:rPr>
          <w:rFonts w:hint="eastAsia" w:ascii="Times New Roman" w:hAnsi="Times New Roman" w:cs="Times New Roman" w:eastAsiaTheme="minorEastAsia"/>
          <w:b/>
          <w:bCs/>
          <w:color w:val="auto"/>
          <w:kern w:val="44"/>
          <w:sz w:val="30"/>
          <w:szCs w:val="30"/>
          <w:highlight w:val="none"/>
          <w:lang w:val="en-US" w:eastAsia="zh-CN" w:bidi="ar-SA"/>
        </w:rPr>
        <w:t>检测</w:t>
      </w:r>
      <w:r>
        <w:rPr>
          <w:rFonts w:hint="default" w:ascii="Times New Roman" w:hAnsi="Times New Roman" w:cs="Times New Roman" w:eastAsiaTheme="minorEastAsia"/>
          <w:b/>
          <w:bCs/>
          <w:color w:val="auto"/>
          <w:kern w:val="44"/>
          <w:sz w:val="30"/>
          <w:szCs w:val="30"/>
          <w:highlight w:val="none"/>
          <w:lang w:val="en-US" w:eastAsia="zh-CN" w:bidi="ar-SA"/>
        </w:rPr>
        <w:t>单位资质证书</w:t>
      </w:r>
    </w:p>
    <w:p w14:paraId="2CF5E122">
      <w:pPr>
        <w:pStyle w:val="22"/>
        <w:jc w:val="center"/>
        <w:rPr>
          <w:rFonts w:hint="eastAsia"/>
          <w:lang w:val="en-US" w:eastAsia="zh-CN"/>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856605" cy="8133715"/>
            <wp:effectExtent l="0" t="0" r="10795" b="635"/>
            <wp:docPr id="3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2"/>
                    <pic:cNvPicPr>
                      <a:picLocks noChangeAspect="1"/>
                    </pic:cNvPicPr>
                  </pic:nvPicPr>
                  <pic:blipFill>
                    <a:blip r:embed="rId15"/>
                    <a:stretch>
                      <a:fillRect/>
                    </a:stretch>
                  </pic:blipFill>
                  <pic:spPr>
                    <a:xfrm>
                      <a:off x="0" y="0"/>
                      <a:ext cx="5856605" cy="8133715"/>
                    </a:xfrm>
                    <a:prstGeom prst="rect">
                      <a:avLst/>
                    </a:prstGeom>
                    <a:noFill/>
                    <a:ln>
                      <a:noFill/>
                    </a:ln>
                  </pic:spPr>
                </pic:pic>
              </a:graphicData>
            </a:graphic>
          </wp:inline>
        </w:drawing>
      </w:r>
    </w:p>
    <w:p w14:paraId="1FAF84B6">
      <w:pPr>
        <w:pStyle w:val="22"/>
        <w:jc w:val="both"/>
        <w:rPr>
          <w:rFonts w:hint="eastAsia" w:ascii="Times New Roman" w:hAnsi="Times New Roman" w:cs="Times New Roman" w:eastAsiaTheme="minorEastAsia"/>
          <w:b/>
          <w:bCs/>
          <w:color w:val="auto"/>
          <w:kern w:val="44"/>
          <w:sz w:val="30"/>
          <w:szCs w:val="30"/>
          <w:highlight w:val="none"/>
          <w:lang w:val="en-US" w:eastAsia="zh-CN" w:bidi="ar-SA"/>
        </w:rPr>
      </w:pPr>
      <w:r>
        <w:rPr>
          <w:rFonts w:hint="eastAsia" w:ascii="Times New Roman" w:hAnsi="Times New Roman" w:cs="Times New Roman" w:eastAsiaTheme="minorEastAsia"/>
          <w:b/>
          <w:bCs/>
          <w:color w:val="auto"/>
          <w:kern w:val="44"/>
          <w:sz w:val="30"/>
          <w:szCs w:val="30"/>
          <w:highlight w:val="none"/>
          <w:lang w:val="en-US" w:eastAsia="zh-CN" w:bidi="ar-SA"/>
        </w:rPr>
        <w:t>附件</w:t>
      </w:r>
      <w:r>
        <w:rPr>
          <w:rFonts w:hint="eastAsia" w:ascii="Times New Roman" w:cs="Times New Roman" w:eastAsiaTheme="minorEastAsia"/>
          <w:b/>
          <w:bCs/>
          <w:color w:val="auto"/>
          <w:kern w:val="44"/>
          <w:sz w:val="30"/>
          <w:szCs w:val="30"/>
          <w:highlight w:val="none"/>
          <w:lang w:val="en-US" w:eastAsia="zh-CN" w:bidi="ar-SA"/>
        </w:rPr>
        <w:t xml:space="preserve">5 </w:t>
      </w:r>
      <w:r>
        <w:rPr>
          <w:rFonts w:hint="eastAsia" w:ascii="Times New Roman" w:hAnsi="Times New Roman" w:cs="Times New Roman" w:eastAsiaTheme="minorEastAsia"/>
          <w:b/>
          <w:bCs/>
          <w:color w:val="auto"/>
          <w:kern w:val="44"/>
          <w:sz w:val="30"/>
          <w:szCs w:val="30"/>
          <w:highlight w:val="none"/>
          <w:lang w:val="en-US" w:eastAsia="zh-CN" w:bidi="ar-SA"/>
        </w:rPr>
        <w:t>验收检测报告</w:t>
      </w:r>
    </w:p>
    <w:p w14:paraId="106CAD38">
      <w:pPr>
        <w:pStyle w:val="22"/>
        <w:jc w:val="both"/>
      </w:pPr>
      <w:r>
        <w:drawing>
          <wp:inline distT="0" distB="0" distL="114300" distR="114300">
            <wp:extent cx="5791200" cy="8206105"/>
            <wp:effectExtent l="0" t="0" r="0" b="444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16"/>
                    <a:stretch>
                      <a:fillRect/>
                    </a:stretch>
                  </pic:blipFill>
                  <pic:spPr>
                    <a:xfrm>
                      <a:off x="0" y="0"/>
                      <a:ext cx="5791200" cy="8206105"/>
                    </a:xfrm>
                    <a:prstGeom prst="rect">
                      <a:avLst/>
                    </a:prstGeom>
                    <a:noFill/>
                    <a:ln>
                      <a:noFill/>
                    </a:ln>
                  </pic:spPr>
                </pic:pic>
              </a:graphicData>
            </a:graphic>
          </wp:inline>
        </w:drawing>
      </w:r>
      <w:r>
        <w:drawing>
          <wp:inline distT="0" distB="0" distL="114300" distR="114300">
            <wp:extent cx="6066790" cy="8553450"/>
            <wp:effectExtent l="0" t="0" r="10160" b="0"/>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17"/>
                    <a:stretch>
                      <a:fillRect/>
                    </a:stretch>
                  </pic:blipFill>
                  <pic:spPr>
                    <a:xfrm>
                      <a:off x="0" y="0"/>
                      <a:ext cx="6066790" cy="8553450"/>
                    </a:xfrm>
                    <a:prstGeom prst="rect">
                      <a:avLst/>
                    </a:prstGeom>
                    <a:noFill/>
                    <a:ln>
                      <a:noFill/>
                    </a:ln>
                  </pic:spPr>
                </pic:pic>
              </a:graphicData>
            </a:graphic>
          </wp:inline>
        </w:drawing>
      </w:r>
      <w:r>
        <w:drawing>
          <wp:inline distT="0" distB="0" distL="114300" distR="114300">
            <wp:extent cx="6195695" cy="8676640"/>
            <wp:effectExtent l="0" t="0" r="14605" b="1016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18"/>
                    <a:stretch>
                      <a:fillRect/>
                    </a:stretch>
                  </pic:blipFill>
                  <pic:spPr>
                    <a:xfrm>
                      <a:off x="0" y="0"/>
                      <a:ext cx="6195695" cy="8676640"/>
                    </a:xfrm>
                    <a:prstGeom prst="rect">
                      <a:avLst/>
                    </a:prstGeom>
                    <a:noFill/>
                    <a:ln>
                      <a:noFill/>
                    </a:ln>
                  </pic:spPr>
                </pic:pic>
              </a:graphicData>
            </a:graphic>
          </wp:inline>
        </w:drawing>
      </w:r>
      <w:r>
        <w:drawing>
          <wp:inline distT="0" distB="0" distL="114300" distR="114300">
            <wp:extent cx="6144895" cy="8733790"/>
            <wp:effectExtent l="0" t="0" r="8255" b="10160"/>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19"/>
                    <a:stretch>
                      <a:fillRect/>
                    </a:stretch>
                  </pic:blipFill>
                  <pic:spPr>
                    <a:xfrm>
                      <a:off x="0" y="0"/>
                      <a:ext cx="6144895" cy="8733790"/>
                    </a:xfrm>
                    <a:prstGeom prst="rect">
                      <a:avLst/>
                    </a:prstGeom>
                    <a:noFill/>
                    <a:ln>
                      <a:noFill/>
                    </a:ln>
                  </pic:spPr>
                </pic:pic>
              </a:graphicData>
            </a:graphic>
          </wp:inline>
        </w:drawing>
      </w:r>
      <w:r>
        <w:drawing>
          <wp:inline distT="0" distB="0" distL="114300" distR="114300">
            <wp:extent cx="6242050" cy="8819515"/>
            <wp:effectExtent l="0" t="0" r="6350" b="635"/>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20"/>
                    <a:stretch>
                      <a:fillRect/>
                    </a:stretch>
                  </pic:blipFill>
                  <pic:spPr>
                    <a:xfrm>
                      <a:off x="0" y="0"/>
                      <a:ext cx="6242050" cy="8819515"/>
                    </a:xfrm>
                    <a:prstGeom prst="rect">
                      <a:avLst/>
                    </a:prstGeom>
                    <a:noFill/>
                    <a:ln>
                      <a:noFill/>
                    </a:ln>
                  </pic:spPr>
                </pic:pic>
              </a:graphicData>
            </a:graphic>
          </wp:inline>
        </w:drawing>
      </w:r>
      <w:r>
        <w:drawing>
          <wp:inline distT="0" distB="0" distL="114300" distR="114300">
            <wp:extent cx="6186805" cy="8781415"/>
            <wp:effectExtent l="0" t="0" r="4445" b="635"/>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1"/>
                    </pic:cNvPicPr>
                  </pic:nvPicPr>
                  <pic:blipFill>
                    <a:blip r:embed="rId21"/>
                    <a:stretch>
                      <a:fillRect/>
                    </a:stretch>
                  </pic:blipFill>
                  <pic:spPr>
                    <a:xfrm>
                      <a:off x="0" y="0"/>
                      <a:ext cx="6186805" cy="8781415"/>
                    </a:xfrm>
                    <a:prstGeom prst="rect">
                      <a:avLst/>
                    </a:prstGeom>
                    <a:noFill/>
                    <a:ln>
                      <a:noFill/>
                    </a:ln>
                  </pic:spPr>
                </pic:pic>
              </a:graphicData>
            </a:graphic>
          </wp:inline>
        </w:drawing>
      </w:r>
      <w:r>
        <w:drawing>
          <wp:inline distT="0" distB="0" distL="114300" distR="114300">
            <wp:extent cx="6148070" cy="8686800"/>
            <wp:effectExtent l="0" t="0" r="5080" b="0"/>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pic:cNvPicPr>
                      <a:picLocks noChangeAspect="1"/>
                    </pic:cNvPicPr>
                  </pic:nvPicPr>
                  <pic:blipFill>
                    <a:blip r:embed="rId22"/>
                    <a:stretch>
                      <a:fillRect/>
                    </a:stretch>
                  </pic:blipFill>
                  <pic:spPr>
                    <a:xfrm>
                      <a:off x="0" y="0"/>
                      <a:ext cx="6148070" cy="8686800"/>
                    </a:xfrm>
                    <a:prstGeom prst="rect">
                      <a:avLst/>
                    </a:prstGeom>
                    <a:noFill/>
                    <a:ln>
                      <a:noFill/>
                    </a:ln>
                  </pic:spPr>
                </pic:pic>
              </a:graphicData>
            </a:graphic>
          </wp:inline>
        </w:drawing>
      </w:r>
      <w:r>
        <w:drawing>
          <wp:inline distT="0" distB="0" distL="114300" distR="114300">
            <wp:extent cx="6162675" cy="8677275"/>
            <wp:effectExtent l="0" t="0" r="9525" b="9525"/>
            <wp:docPr id="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pic:cNvPicPr>
                      <a:picLocks noChangeAspect="1"/>
                    </pic:cNvPicPr>
                  </pic:nvPicPr>
                  <pic:blipFill>
                    <a:blip r:embed="rId23"/>
                    <a:stretch>
                      <a:fillRect/>
                    </a:stretch>
                  </pic:blipFill>
                  <pic:spPr>
                    <a:xfrm>
                      <a:off x="0" y="0"/>
                      <a:ext cx="6162675" cy="8677275"/>
                    </a:xfrm>
                    <a:prstGeom prst="rect">
                      <a:avLst/>
                    </a:prstGeom>
                    <a:noFill/>
                    <a:ln>
                      <a:noFill/>
                    </a:ln>
                  </pic:spPr>
                </pic:pic>
              </a:graphicData>
            </a:graphic>
          </wp:inline>
        </w:drawing>
      </w:r>
      <w:r>
        <w:drawing>
          <wp:inline distT="0" distB="0" distL="114300" distR="114300">
            <wp:extent cx="6186170" cy="8695690"/>
            <wp:effectExtent l="0" t="0" r="5080" b="10160"/>
            <wp:docPr id="3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
                    <pic:cNvPicPr>
                      <a:picLocks noChangeAspect="1"/>
                    </pic:cNvPicPr>
                  </pic:nvPicPr>
                  <pic:blipFill>
                    <a:blip r:embed="rId24"/>
                    <a:stretch>
                      <a:fillRect/>
                    </a:stretch>
                  </pic:blipFill>
                  <pic:spPr>
                    <a:xfrm>
                      <a:off x="0" y="0"/>
                      <a:ext cx="6186170" cy="8695690"/>
                    </a:xfrm>
                    <a:prstGeom prst="rect">
                      <a:avLst/>
                    </a:prstGeom>
                    <a:noFill/>
                    <a:ln>
                      <a:noFill/>
                    </a:ln>
                  </pic:spPr>
                </pic:pic>
              </a:graphicData>
            </a:graphic>
          </wp:inline>
        </w:drawing>
      </w:r>
      <w:r>
        <w:drawing>
          <wp:inline distT="0" distB="0" distL="114300" distR="114300">
            <wp:extent cx="6084570" cy="8610600"/>
            <wp:effectExtent l="0" t="0" r="11430" b="0"/>
            <wp:docPr id="3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0"/>
                    <pic:cNvPicPr>
                      <a:picLocks noChangeAspect="1"/>
                    </pic:cNvPicPr>
                  </pic:nvPicPr>
                  <pic:blipFill>
                    <a:blip r:embed="rId25"/>
                    <a:stretch>
                      <a:fillRect/>
                    </a:stretch>
                  </pic:blipFill>
                  <pic:spPr>
                    <a:xfrm>
                      <a:off x="0" y="0"/>
                      <a:ext cx="6084570" cy="8610600"/>
                    </a:xfrm>
                    <a:prstGeom prst="rect">
                      <a:avLst/>
                    </a:prstGeom>
                    <a:noFill/>
                    <a:ln>
                      <a:noFill/>
                    </a:ln>
                  </pic:spPr>
                </pic:pic>
              </a:graphicData>
            </a:graphic>
          </wp:inline>
        </w:drawing>
      </w:r>
      <w:r>
        <w:drawing>
          <wp:inline distT="0" distB="0" distL="114300" distR="114300">
            <wp:extent cx="6167120" cy="8676640"/>
            <wp:effectExtent l="0" t="0" r="5080" b="10160"/>
            <wp:docPr id="3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1"/>
                    <pic:cNvPicPr>
                      <a:picLocks noChangeAspect="1"/>
                    </pic:cNvPicPr>
                  </pic:nvPicPr>
                  <pic:blipFill>
                    <a:blip r:embed="rId26"/>
                    <a:stretch>
                      <a:fillRect/>
                    </a:stretch>
                  </pic:blipFill>
                  <pic:spPr>
                    <a:xfrm>
                      <a:off x="0" y="0"/>
                      <a:ext cx="6167120" cy="8676640"/>
                    </a:xfrm>
                    <a:prstGeom prst="rect">
                      <a:avLst/>
                    </a:prstGeom>
                    <a:noFill/>
                    <a:ln>
                      <a:noFill/>
                    </a:ln>
                  </pic:spPr>
                </pic:pic>
              </a:graphicData>
            </a:graphic>
          </wp:inline>
        </w:drawing>
      </w:r>
    </w:p>
    <w:p w14:paraId="3FB5145F">
      <w:pPr>
        <w:pStyle w:val="22"/>
        <w:jc w:val="both"/>
        <w:rPr>
          <w:rFonts w:hint="eastAsia" w:ascii="Times New Roman" w:cs="Times New Roman" w:eastAsiaTheme="minorEastAsia"/>
          <w:b/>
          <w:bCs/>
          <w:color w:val="auto"/>
          <w:kern w:val="44"/>
          <w:sz w:val="30"/>
          <w:szCs w:val="30"/>
          <w:highlight w:val="none"/>
          <w:lang w:val="en-US" w:eastAsia="zh-CN" w:bidi="ar-SA"/>
        </w:rPr>
      </w:pPr>
      <w:r>
        <w:rPr>
          <w:rFonts w:hint="eastAsia" w:ascii="Times New Roman" w:hAnsi="Times New Roman" w:cs="Times New Roman" w:eastAsiaTheme="minorEastAsia"/>
          <w:b/>
          <w:bCs/>
          <w:color w:val="auto"/>
          <w:kern w:val="44"/>
          <w:sz w:val="30"/>
          <w:szCs w:val="30"/>
          <w:highlight w:val="none"/>
          <w:lang w:val="en-US" w:eastAsia="zh-CN" w:bidi="ar-SA"/>
        </w:rPr>
        <w:t>附件</w:t>
      </w:r>
      <w:r>
        <w:rPr>
          <w:rFonts w:hint="eastAsia" w:ascii="Times New Roman" w:cs="Times New Roman" w:eastAsiaTheme="minorEastAsia"/>
          <w:b/>
          <w:bCs/>
          <w:color w:val="auto"/>
          <w:kern w:val="44"/>
          <w:sz w:val="30"/>
          <w:szCs w:val="30"/>
          <w:highlight w:val="none"/>
          <w:lang w:val="en-US" w:eastAsia="zh-CN" w:bidi="ar-SA"/>
        </w:rPr>
        <w:t>6 专家意见</w:t>
      </w:r>
    </w:p>
    <w:p w14:paraId="7DB857E3">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Times New Roman" w:hAnsi="Times New Roman" w:eastAsia="宋体" w:cs="Times New Roman"/>
          <w:b/>
          <w:bCs/>
          <w:sz w:val="28"/>
          <w:szCs w:val="28"/>
          <w:lang w:val="en-US" w:eastAsia="zh-CN"/>
        </w:rPr>
      </w:pPr>
    </w:p>
    <w:p w14:paraId="1392DB26">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rPr>
          <w:rFonts w:hint="default" w:ascii="Times New Roman" w:hAnsi="Times New Roman" w:eastAsia="宋体" w:cs="Times New Roman"/>
          <w:b/>
          <w:bCs/>
          <w:sz w:val="28"/>
          <w:szCs w:val="28"/>
        </w:rPr>
      </w:pPr>
      <w:r>
        <w:rPr>
          <w:rFonts w:hint="eastAsia" w:ascii="Times New Roman" w:hAnsi="Times New Roman" w:eastAsia="宋体" w:cs="Times New Roman"/>
          <w:b/>
          <w:bCs/>
          <w:sz w:val="28"/>
          <w:szCs w:val="28"/>
          <w:lang w:val="en-US" w:eastAsia="zh-CN"/>
        </w:rPr>
        <w:t>新乡市科博特起重机械</w:t>
      </w:r>
      <w:r>
        <w:rPr>
          <w:rFonts w:hint="eastAsia" w:ascii="Times New Roman" w:hAnsi="Times New Roman" w:eastAsia="宋体" w:cs="Times New Roman"/>
          <w:b/>
          <w:bCs/>
          <w:sz w:val="28"/>
          <w:szCs w:val="28"/>
          <w:lang w:eastAsia="zh-CN"/>
        </w:rPr>
        <w:t>有限公司年产</w:t>
      </w:r>
      <w:r>
        <w:rPr>
          <w:rFonts w:hint="eastAsia" w:ascii="Times New Roman" w:hAnsi="Times New Roman" w:eastAsia="宋体" w:cs="Times New Roman"/>
          <w:b/>
          <w:bCs/>
          <w:sz w:val="28"/>
          <w:szCs w:val="28"/>
          <w:lang w:val="en-US" w:eastAsia="zh-CN"/>
        </w:rPr>
        <w:t>1.2万吨道轨交通配件</w:t>
      </w:r>
      <w:r>
        <w:rPr>
          <w:rFonts w:hint="eastAsia" w:ascii="Times New Roman" w:hAnsi="Times New Roman" w:eastAsia="宋体" w:cs="Times New Roman"/>
          <w:b/>
          <w:bCs/>
          <w:sz w:val="28"/>
          <w:szCs w:val="28"/>
          <w:lang w:eastAsia="zh-CN"/>
        </w:rPr>
        <w:t>项目（</w:t>
      </w:r>
      <w:r>
        <w:rPr>
          <w:rFonts w:hint="eastAsia" w:ascii="Times New Roman" w:hAnsi="Times New Roman" w:eastAsia="宋体" w:cs="Times New Roman"/>
          <w:b/>
          <w:bCs/>
          <w:sz w:val="28"/>
          <w:szCs w:val="28"/>
          <w:lang w:val="en-US" w:eastAsia="zh-CN"/>
        </w:rPr>
        <w:t>一期</w:t>
      </w:r>
      <w:r>
        <w:rPr>
          <w:rFonts w:hint="eastAsia" w:ascii="Times New Roman" w:hAnsi="Times New Roman" w:eastAsia="宋体" w:cs="Times New Roman"/>
          <w:b/>
          <w:bCs/>
          <w:sz w:val="28"/>
          <w:szCs w:val="28"/>
          <w:lang w:eastAsia="zh-CN"/>
        </w:rPr>
        <w:t>）</w:t>
      </w:r>
      <w:r>
        <w:rPr>
          <w:rFonts w:hint="default" w:ascii="Times New Roman" w:hAnsi="Times New Roman" w:eastAsia="宋体" w:cs="Times New Roman"/>
          <w:b/>
          <w:bCs/>
          <w:sz w:val="28"/>
          <w:szCs w:val="28"/>
          <w:lang w:eastAsia="zh-CN"/>
        </w:rPr>
        <w:t>竣工环境保护验收</w:t>
      </w:r>
      <w:r>
        <w:rPr>
          <w:rFonts w:hint="default" w:ascii="Times New Roman" w:hAnsi="Times New Roman" w:eastAsia="宋体" w:cs="Times New Roman"/>
          <w:b/>
          <w:bCs/>
          <w:sz w:val="28"/>
          <w:szCs w:val="28"/>
        </w:rPr>
        <w:t>意见</w:t>
      </w:r>
    </w:p>
    <w:p w14:paraId="449B0E59">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202</w:t>
      </w: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lang w:val="en-US" w:eastAsia="zh-CN"/>
        </w:rPr>
        <w:t>年</w:t>
      </w:r>
      <w:r>
        <w:rPr>
          <w:rFonts w:hint="eastAsia"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lang w:val="en-US" w:eastAsia="zh-CN"/>
        </w:rPr>
        <w:t>月</w:t>
      </w:r>
      <w:r>
        <w:rPr>
          <w:rFonts w:hint="eastAsia" w:ascii="Times New Roman" w:hAnsi="Times New Roman" w:eastAsia="宋体" w:cs="Times New Roman"/>
          <w:sz w:val="24"/>
          <w:szCs w:val="24"/>
          <w:lang w:val="en-US" w:eastAsia="zh-CN"/>
        </w:rPr>
        <w:t>31</w:t>
      </w:r>
      <w:bookmarkStart w:id="5" w:name="_GoBack"/>
      <w:bookmarkEnd w:id="5"/>
      <w:r>
        <w:rPr>
          <w:rFonts w:hint="default" w:ascii="Times New Roman" w:hAnsi="Times New Roman" w:eastAsia="宋体" w:cs="Times New Roman"/>
          <w:sz w:val="24"/>
          <w:szCs w:val="24"/>
          <w:lang w:val="en-US" w:eastAsia="zh-CN"/>
        </w:rPr>
        <w:t>日，</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新乡市科博特起重机械有限公司年产1.2万吨道轨交通配件项目</w:t>
      </w:r>
      <w:r>
        <w:rPr>
          <w:rFonts w:hint="eastAsia" w:ascii="Times New Roman" w:hAnsi="Times New Roman" w:eastAsia="宋体" w:cs="Times New Roman"/>
          <w:sz w:val="24"/>
          <w:szCs w:val="24"/>
          <w:lang w:val="en-US" w:eastAsia="zh-CN"/>
        </w:rPr>
        <w:t>（一期）》</w:t>
      </w:r>
      <w:r>
        <w:rPr>
          <w:rFonts w:hint="default" w:ascii="Times New Roman" w:hAnsi="Times New Roman" w:eastAsia="宋体" w:cs="Times New Roman"/>
          <w:sz w:val="24"/>
          <w:szCs w:val="24"/>
          <w:lang w:val="en-US" w:eastAsia="zh-CN"/>
        </w:rPr>
        <w:t>竣工环境保护验收评审</w:t>
      </w:r>
      <w:r>
        <w:rPr>
          <w:rFonts w:hint="default" w:ascii="Times New Roman" w:hAnsi="Times New Roman" w:eastAsia="宋体" w:cs="Times New Roman"/>
          <w:sz w:val="24"/>
          <w:szCs w:val="24"/>
          <w:lang w:eastAsia="zh-CN"/>
        </w:rPr>
        <w:t>会在</w:t>
      </w:r>
      <w:r>
        <w:rPr>
          <w:rFonts w:hint="default" w:ascii="Times New Roman" w:hAnsi="Times New Roman" w:eastAsia="宋体" w:cs="Times New Roman"/>
          <w:sz w:val="24"/>
          <w:szCs w:val="24"/>
          <w:lang w:val="en-US" w:eastAsia="zh-CN"/>
        </w:rPr>
        <w:t>长垣市</w:t>
      </w:r>
      <w:r>
        <w:rPr>
          <w:rFonts w:hint="default" w:ascii="Times New Roman" w:hAnsi="Times New Roman" w:eastAsia="宋体" w:cs="Times New Roman"/>
          <w:sz w:val="24"/>
          <w:szCs w:val="24"/>
          <w:lang w:eastAsia="zh-CN"/>
        </w:rPr>
        <w:t>召开。验收专家组通过审阅</w:t>
      </w:r>
      <w:r>
        <w:rPr>
          <w:rFonts w:hint="default" w:ascii="Times New Roman" w:hAnsi="Times New Roman" w:eastAsia="宋体" w:cs="Times New Roman"/>
          <w:sz w:val="24"/>
          <w:szCs w:val="24"/>
          <w:lang w:val="en-US" w:eastAsia="zh-CN"/>
        </w:rPr>
        <w:t>本项目</w:t>
      </w:r>
      <w:r>
        <w:rPr>
          <w:rFonts w:hint="default" w:ascii="Times New Roman" w:hAnsi="Times New Roman" w:eastAsia="宋体" w:cs="Times New Roman"/>
          <w:sz w:val="24"/>
          <w:szCs w:val="24"/>
        </w:rPr>
        <w:t>竣工环境保护</w:t>
      </w:r>
      <w:r>
        <w:rPr>
          <w:rFonts w:hint="default" w:ascii="Times New Roman" w:hAnsi="Times New Roman" w:eastAsia="宋体" w:cs="Times New Roman"/>
          <w:sz w:val="24"/>
          <w:szCs w:val="24"/>
          <w:lang w:eastAsia="zh-CN"/>
        </w:rPr>
        <w:t>验收</w:t>
      </w:r>
      <w:r>
        <w:rPr>
          <w:rFonts w:hint="default" w:ascii="Times New Roman" w:hAnsi="Times New Roman" w:eastAsia="宋体" w:cs="Times New Roman"/>
          <w:sz w:val="24"/>
          <w:szCs w:val="24"/>
        </w:rPr>
        <w:t>监测报告并对照《建设项目竣工环境保护验收暂行办法》，严格依照国家有关法律法规、建设项目竣工环境保护验收技术规范、本项目环境影响评价报告</w:t>
      </w:r>
      <w:r>
        <w:rPr>
          <w:rFonts w:hint="default" w:ascii="Times New Roman" w:hAnsi="Times New Roman" w:eastAsia="宋体" w:cs="Times New Roman"/>
          <w:sz w:val="24"/>
          <w:szCs w:val="24"/>
          <w:lang w:eastAsia="zh-CN"/>
        </w:rPr>
        <w:t>表</w:t>
      </w:r>
      <w:r>
        <w:rPr>
          <w:rFonts w:hint="default" w:ascii="Times New Roman" w:hAnsi="Times New Roman" w:eastAsia="宋体" w:cs="Times New Roman"/>
          <w:sz w:val="24"/>
          <w:szCs w:val="24"/>
        </w:rPr>
        <w:t>和审批部门审批决定等要求对本项目进行验收，提出意见如下：</w:t>
      </w:r>
    </w:p>
    <w:p w14:paraId="3550FD58">
      <w:pPr>
        <w:keepNext w:val="0"/>
        <w:keepLines w:val="0"/>
        <w:pageBreakBefore w:val="0"/>
        <w:widowControl/>
        <w:kinsoku/>
        <w:wordWrap/>
        <w:overflowPunct/>
        <w:topLinePunct w:val="0"/>
        <w:autoSpaceDE/>
        <w:autoSpaceDN/>
        <w:bidi w:val="0"/>
        <w:adjustRightInd w:val="0"/>
        <w:snapToGrid w:val="0"/>
        <w:spacing w:after="0" w:line="520" w:lineRule="exact"/>
        <w:ind w:firstLine="482" w:firstLineChars="200"/>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一、工程建设基本情况</w:t>
      </w:r>
    </w:p>
    <w:p w14:paraId="6E260A75">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（一）建设地点、规模、主要建设内容</w:t>
      </w:r>
    </w:p>
    <w:p w14:paraId="677955F9">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left"/>
        <w:textAlignment w:val="auto"/>
        <w:outlineLvl w:val="9"/>
        <w:rPr>
          <w:rFonts w:hint="default" w:ascii="Times New Roman" w:hAnsi="Times New Roman" w:eastAsia="宋体" w:cs="Times New Roman"/>
          <w:color w:val="auto"/>
          <w:sz w:val="24"/>
          <w:szCs w:val="24"/>
        </w:rPr>
      </w:pP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新乡市科博特起重机械有限公司年产1.2万吨道轨交通配件项目</w:t>
      </w:r>
      <w:r>
        <w:rPr>
          <w:rFonts w:hint="eastAsia" w:ascii="Times New Roman" w:hAnsi="Times New Roman" w:eastAsia="宋体" w:cs="Times New Roman"/>
          <w:sz w:val="24"/>
          <w:szCs w:val="24"/>
          <w:lang w:val="en-US" w:eastAsia="zh-CN"/>
        </w:rPr>
        <w:t>（一期）</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eastAsia="宋体" w:cs="Times New Roman"/>
          <w:sz w:val="24"/>
          <w:szCs w:val="24"/>
          <w:lang w:val="en-US" w:eastAsia="zh-CN"/>
        </w:rPr>
        <w:t>位于</w:t>
      </w:r>
      <w:r>
        <w:rPr>
          <w:rFonts w:hint="eastAsia" w:ascii="Times New Roman" w:hAnsi="Times New Roman" w:cs="Times New Roman" w:eastAsiaTheme="minorEastAsia"/>
          <w:color w:val="auto"/>
          <w:sz w:val="24"/>
          <w:szCs w:val="24"/>
          <w:lang w:val="en-US" w:eastAsia="zh-CN"/>
        </w:rPr>
        <w:t>长垣市魏庄镇华豫大道中段88号</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color w:val="auto"/>
          <w:sz w:val="24"/>
          <w:szCs w:val="24"/>
          <w:lang w:val="en-US" w:eastAsia="zh-CN"/>
        </w:rPr>
        <w:t>经现场勘察，</w:t>
      </w:r>
      <w:r>
        <w:rPr>
          <w:rFonts w:hint="eastAsia" w:ascii="Times New Roman" w:hAnsi="Times New Roman" w:cs="Times New Roman" w:eastAsiaTheme="minorEastAsia"/>
          <w:color w:val="auto"/>
          <w:sz w:val="24"/>
          <w:szCs w:val="24"/>
          <w:lang w:val="en-US" w:eastAsia="zh-CN"/>
        </w:rPr>
        <w:t>本项目已建设完成，达到产能为</w:t>
      </w:r>
      <w:r>
        <w:rPr>
          <w:rFonts w:hint="default" w:ascii="Times New Roman" w:hAnsi="Times New Roman" w:eastAsia="宋体" w:cs="Times New Roman"/>
          <w:sz w:val="24"/>
          <w:szCs w:val="24"/>
          <w:lang w:val="en-US" w:eastAsia="zh-CN"/>
        </w:rPr>
        <w:t>年产1.2万吨道轨交通配件</w:t>
      </w:r>
      <w:r>
        <w:rPr>
          <w:rFonts w:hint="eastAsia" w:ascii="Times New Roman" w:hAnsi="Times New Roman" w:eastAsia="宋体" w:cs="Times New Roman"/>
          <w:color w:val="auto"/>
          <w:sz w:val="24"/>
          <w:lang w:val="en-US" w:eastAsia="zh-CN"/>
        </w:rPr>
        <w:t>，一期投资为150万元，</w:t>
      </w:r>
      <w:r>
        <w:rPr>
          <w:rFonts w:hint="default" w:ascii="Times New Roman" w:hAnsi="Times New Roman" w:eastAsia="宋体" w:cs="Times New Roman"/>
          <w:color w:val="auto"/>
          <w:sz w:val="24"/>
          <w:szCs w:val="24"/>
          <w:lang w:val="en-US" w:eastAsia="zh-CN"/>
        </w:rPr>
        <w:t>占地</w:t>
      </w:r>
      <w:r>
        <w:rPr>
          <w:rFonts w:hint="default" w:ascii="Times New Roman" w:hAnsi="Times New Roman" w:eastAsia="宋体" w:cs="Times New Roman"/>
          <w:color w:val="auto"/>
          <w:sz w:val="24"/>
          <w:lang w:val="en-US" w:eastAsia="zh-CN"/>
        </w:rPr>
        <w:t>约</w:t>
      </w:r>
      <w:r>
        <w:rPr>
          <w:rFonts w:hint="eastAsia" w:ascii="Times New Roman" w:hAnsi="Times New Roman" w:eastAsia="宋体" w:cs="Times New Roman"/>
          <w:color w:val="auto"/>
          <w:sz w:val="24"/>
          <w:lang w:val="en-US" w:eastAsia="zh-CN"/>
        </w:rPr>
        <w:t>1500</w:t>
      </w:r>
      <w:r>
        <w:rPr>
          <w:rFonts w:hint="eastAsia" w:ascii="Times New Roman" w:hAnsi="Times New Roman" w:eastAsia="宋体" w:cs="Times New Roman"/>
          <w:color w:val="auto"/>
          <w:sz w:val="24"/>
          <w:szCs w:val="24"/>
          <w:lang w:val="en-US" w:eastAsia="zh-CN"/>
        </w:rPr>
        <w:t>m</w:t>
      </w:r>
      <w:r>
        <w:rPr>
          <w:rFonts w:hint="eastAsia"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z w:val="24"/>
          <w:szCs w:val="24"/>
        </w:rPr>
        <w:t>。</w:t>
      </w:r>
    </w:p>
    <w:p w14:paraId="734F17EC">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（二）建设过程及环保审批情况</w:t>
      </w:r>
    </w:p>
    <w:p w14:paraId="578C4B19">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新乡市科博特起重机械有限公司年产1.2万吨道轨交通配件项目</w:t>
      </w:r>
      <w:r>
        <w:rPr>
          <w:rFonts w:hint="default" w:ascii="Times New Roman" w:hAnsi="Times New Roman" w:eastAsia="宋体" w:cs="Times New Roman"/>
          <w:sz w:val="24"/>
          <w:szCs w:val="24"/>
        </w:rPr>
        <w:t>环境影响报告表</w:t>
      </w:r>
      <w:r>
        <w:rPr>
          <w:rFonts w:hint="default" w:ascii="Times New Roman" w:hAnsi="Times New Roman" w:eastAsia="宋体" w:cs="Times New Roman"/>
          <w:sz w:val="24"/>
          <w:szCs w:val="24"/>
          <w:lang w:val="en-US" w:eastAsia="zh-CN"/>
        </w:rPr>
        <w:t>》由</w:t>
      </w:r>
      <w:r>
        <w:rPr>
          <w:rFonts w:hint="eastAsia" w:ascii="Times New Roman" w:hAnsi="Times New Roman" w:cs="Times New Roman" w:eastAsiaTheme="minorEastAsia"/>
          <w:color w:val="auto"/>
          <w:sz w:val="24"/>
          <w:szCs w:val="24"/>
          <w:lang w:val="en-US" w:eastAsia="zh-CN"/>
        </w:rPr>
        <w:t>河南省凝博生态科技</w:t>
      </w:r>
      <w:r>
        <w:rPr>
          <w:rFonts w:hint="eastAsia" w:ascii="Times New Roman" w:hAnsi="Times New Roman" w:cs="Times New Roman" w:eastAsiaTheme="minorEastAsia"/>
          <w:color w:val="auto"/>
          <w:sz w:val="24"/>
          <w:szCs w:val="24"/>
          <w:lang w:eastAsia="zh-CN"/>
        </w:rPr>
        <w:t>有限公司</w:t>
      </w:r>
      <w:r>
        <w:rPr>
          <w:rFonts w:hint="default" w:ascii="Times New Roman" w:hAnsi="Times New Roman" w:eastAsia="宋体" w:cs="Times New Roman"/>
          <w:sz w:val="24"/>
          <w:szCs w:val="24"/>
          <w:lang w:val="en-US" w:eastAsia="zh-CN"/>
        </w:rPr>
        <w:t>编制完成，</w:t>
      </w:r>
      <w:r>
        <w:rPr>
          <w:rFonts w:hint="default" w:ascii="Times New Roman" w:hAnsi="Times New Roman" w:eastAsia="宋体" w:cs="Times New Roman"/>
          <w:color w:val="auto"/>
          <w:sz w:val="24"/>
          <w:szCs w:val="24"/>
          <w:lang w:val="en-US" w:eastAsia="zh-CN"/>
        </w:rPr>
        <w:t>20</w:t>
      </w:r>
      <w:r>
        <w:rPr>
          <w:rFonts w:hint="eastAsia" w:ascii="Times New Roman" w:hAnsi="Times New Roman" w:eastAsia="宋体" w:cs="Times New Roman"/>
          <w:color w:val="auto"/>
          <w:sz w:val="24"/>
          <w:szCs w:val="24"/>
          <w:lang w:val="en-US" w:eastAsia="zh-CN"/>
        </w:rPr>
        <w:t>23</w:t>
      </w:r>
      <w:r>
        <w:rPr>
          <w:rFonts w:hint="default" w:ascii="Times New Roman" w:hAnsi="Times New Roman" w:eastAsia="宋体" w:cs="Times New Roman"/>
          <w:color w:val="auto"/>
          <w:sz w:val="24"/>
          <w:szCs w:val="24"/>
          <w:lang w:val="en-US" w:eastAsia="zh-CN"/>
        </w:rPr>
        <w:t>年</w:t>
      </w:r>
      <w:r>
        <w:rPr>
          <w:rFonts w:hint="eastAsia" w:ascii="Times New Roman" w:hAnsi="Times New Roman" w:eastAsia="宋体" w:cs="Times New Roman"/>
          <w:color w:val="auto"/>
          <w:sz w:val="24"/>
          <w:szCs w:val="24"/>
          <w:lang w:val="en-US" w:eastAsia="zh-CN"/>
        </w:rPr>
        <w:t>11</w:t>
      </w:r>
      <w:r>
        <w:rPr>
          <w:rFonts w:hint="default" w:ascii="Times New Roman" w:hAnsi="Times New Roman" w:eastAsia="宋体" w:cs="Times New Roman"/>
          <w:color w:val="auto"/>
          <w:sz w:val="24"/>
          <w:szCs w:val="24"/>
          <w:lang w:val="en-US" w:eastAsia="zh-CN"/>
        </w:rPr>
        <w:t>月</w:t>
      </w:r>
      <w:r>
        <w:rPr>
          <w:rFonts w:hint="eastAsia" w:ascii="Times New Roman" w:hAnsi="Times New Roman" w:eastAsia="宋体" w:cs="Times New Roman"/>
          <w:color w:val="auto"/>
          <w:sz w:val="24"/>
          <w:szCs w:val="24"/>
          <w:lang w:val="en-US" w:eastAsia="zh-CN"/>
        </w:rPr>
        <w:t>8</w:t>
      </w:r>
      <w:r>
        <w:rPr>
          <w:rFonts w:hint="default" w:ascii="Times New Roman" w:hAnsi="Times New Roman" w:eastAsia="宋体" w:cs="Times New Roman"/>
          <w:color w:val="auto"/>
          <w:sz w:val="24"/>
          <w:szCs w:val="24"/>
          <w:lang w:val="en-US" w:eastAsia="zh-CN"/>
        </w:rPr>
        <w:t>日，获得</w:t>
      </w:r>
      <w:r>
        <w:rPr>
          <w:rFonts w:hint="eastAsia" w:ascii="Times New Roman" w:hAnsi="Times New Roman" w:cs="Times New Roman" w:eastAsiaTheme="minorEastAsia"/>
          <w:color w:val="auto"/>
          <w:sz w:val="24"/>
          <w:szCs w:val="24"/>
          <w:lang w:val="en-US" w:eastAsia="zh-CN"/>
        </w:rPr>
        <w:t>新乡市生态环境局长垣分局</w:t>
      </w:r>
      <w:r>
        <w:rPr>
          <w:rFonts w:hint="default" w:ascii="Times New Roman" w:hAnsi="Times New Roman" w:eastAsia="宋体" w:cs="Times New Roman"/>
          <w:color w:val="auto"/>
          <w:sz w:val="24"/>
          <w:szCs w:val="24"/>
          <w:lang w:val="en-US" w:eastAsia="zh-CN"/>
        </w:rPr>
        <w:t>批复</w:t>
      </w:r>
      <w:r>
        <w:rPr>
          <w:rFonts w:hint="default" w:ascii="Times New Roman" w:hAnsi="Times New Roman" w:cs="Times New Roman" w:eastAsiaTheme="minorEastAsia"/>
          <w:color w:val="auto"/>
          <w:sz w:val="24"/>
          <w:szCs w:val="24"/>
          <w:lang w:val="en-US" w:eastAsia="zh-CN"/>
        </w:rPr>
        <w:t>（长环审</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20</w:t>
      </w:r>
      <w:r>
        <w:rPr>
          <w:rFonts w:hint="eastAsia" w:ascii="Times New Roman" w:hAnsi="Times New Roman" w:cs="Times New Roman" w:eastAsiaTheme="minorEastAsia"/>
          <w:color w:val="auto"/>
          <w:sz w:val="24"/>
          <w:szCs w:val="24"/>
          <w:lang w:val="en-US" w:eastAsia="zh-CN"/>
        </w:rPr>
        <w:t>2370</w:t>
      </w:r>
      <w:r>
        <w:rPr>
          <w:rFonts w:hint="default" w:ascii="Times New Roman" w:hAnsi="Times New Roman" w:cs="Times New Roman" w:eastAsiaTheme="minorEastAsia"/>
          <w:color w:val="auto"/>
          <w:sz w:val="24"/>
          <w:szCs w:val="24"/>
          <w:lang w:val="en-US" w:eastAsia="zh-CN"/>
        </w:rPr>
        <w:t>号</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eastAsia="宋体" w:cs="Times New Roman"/>
          <w:sz w:val="24"/>
          <w:szCs w:val="24"/>
          <w:lang w:val="en-US" w:eastAsia="zh-CN"/>
        </w:rPr>
        <w:t>。</w:t>
      </w:r>
    </w:p>
    <w:p w14:paraId="0552BC2B">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本项目</w:t>
      </w:r>
      <w:r>
        <w:rPr>
          <w:rFonts w:hint="eastAsia" w:ascii="Times New Roman" w:hAnsi="Times New Roman" w:eastAsia="宋体" w:cs="Times New Roman"/>
          <w:sz w:val="24"/>
          <w:szCs w:val="24"/>
          <w:lang w:val="en-US" w:eastAsia="zh-CN"/>
        </w:rPr>
        <w:t>一期</w:t>
      </w:r>
      <w:r>
        <w:rPr>
          <w:rFonts w:hint="default" w:ascii="Times New Roman" w:hAnsi="Times New Roman" w:eastAsia="宋体" w:cs="Times New Roman"/>
          <w:sz w:val="24"/>
          <w:szCs w:val="24"/>
          <w:lang w:val="en-US" w:eastAsia="zh-CN"/>
        </w:rPr>
        <w:t>于202</w:t>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lang w:val="en-US" w:eastAsia="zh-CN"/>
        </w:rPr>
        <w:t>年</w:t>
      </w:r>
      <w:r>
        <w:rPr>
          <w:rFonts w:hint="eastAsia" w:ascii="Times New Roman" w:hAnsi="Times New Roman" w:eastAsia="宋体" w:cs="Times New Roman"/>
          <w:sz w:val="24"/>
          <w:szCs w:val="24"/>
          <w:lang w:val="en-US" w:eastAsia="zh-CN"/>
        </w:rPr>
        <w:t>12</w:t>
      </w:r>
      <w:r>
        <w:rPr>
          <w:rFonts w:hint="default" w:ascii="Times New Roman" w:hAnsi="Times New Roman" w:eastAsia="宋体" w:cs="Times New Roman"/>
          <w:sz w:val="24"/>
          <w:szCs w:val="24"/>
          <w:lang w:val="en-US" w:eastAsia="zh-CN"/>
        </w:rPr>
        <w:t>月开工建设，</w:t>
      </w:r>
      <w:r>
        <w:rPr>
          <w:rFonts w:hint="eastAsia" w:ascii="Times New Roman" w:hAnsi="Times New Roman" w:eastAsia="宋体" w:cs="Times New Roman"/>
          <w:sz w:val="24"/>
          <w:szCs w:val="24"/>
          <w:lang w:val="en-US" w:eastAsia="zh-CN"/>
        </w:rPr>
        <w:t>2024年12</w:t>
      </w:r>
      <w:r>
        <w:rPr>
          <w:rFonts w:hint="default" w:ascii="Times New Roman" w:hAnsi="Times New Roman" w:eastAsia="宋体" w:cs="Times New Roman"/>
          <w:sz w:val="24"/>
          <w:szCs w:val="24"/>
          <w:lang w:val="en-US" w:eastAsia="zh-CN"/>
        </w:rPr>
        <w:t>月竣工。</w:t>
      </w:r>
    </w:p>
    <w:p w14:paraId="38F08E29">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（三）投资情况</w:t>
      </w:r>
    </w:p>
    <w:p w14:paraId="41489D7E">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本</w:t>
      </w:r>
      <w:r>
        <w:rPr>
          <w:rFonts w:hint="default" w:ascii="Times New Roman" w:hAnsi="Times New Roman" w:eastAsia="宋体" w:cs="Times New Roman"/>
          <w:sz w:val="24"/>
          <w:szCs w:val="24"/>
        </w:rPr>
        <w:t>项目</w:t>
      </w:r>
      <w:r>
        <w:rPr>
          <w:rFonts w:hint="eastAsia" w:ascii="Times New Roman" w:hAnsi="Times New Roman" w:eastAsia="宋体" w:cs="Times New Roman"/>
          <w:sz w:val="24"/>
          <w:szCs w:val="24"/>
          <w:lang w:val="en-US" w:eastAsia="zh-CN"/>
        </w:rPr>
        <w:t>一期</w:t>
      </w:r>
      <w:r>
        <w:rPr>
          <w:rFonts w:hint="default" w:ascii="Times New Roman" w:hAnsi="Times New Roman" w:eastAsia="宋体" w:cs="Times New Roman"/>
          <w:sz w:val="24"/>
          <w:szCs w:val="24"/>
        </w:rPr>
        <w:t>际总投资</w:t>
      </w:r>
      <w:r>
        <w:rPr>
          <w:rFonts w:hint="eastAsia" w:ascii="Times New Roman" w:hAnsi="Times New Roman" w:eastAsia="宋体" w:cs="Times New Roman"/>
          <w:sz w:val="24"/>
          <w:szCs w:val="24"/>
          <w:lang w:val="en-US" w:eastAsia="zh-CN"/>
        </w:rPr>
        <w:t>15</w:t>
      </w:r>
      <w:r>
        <w:rPr>
          <w:rFonts w:hint="default" w:ascii="Times New Roman" w:hAnsi="Times New Roman" w:eastAsia="宋体" w:cs="Times New Roman"/>
          <w:sz w:val="24"/>
          <w:szCs w:val="24"/>
          <w:lang w:val="en-US" w:eastAsia="zh-CN"/>
        </w:rPr>
        <w:t>0</w:t>
      </w:r>
      <w:r>
        <w:rPr>
          <w:rFonts w:hint="default" w:ascii="Times New Roman" w:hAnsi="Times New Roman" w:eastAsia="宋体" w:cs="Times New Roman"/>
          <w:sz w:val="24"/>
          <w:szCs w:val="24"/>
        </w:rPr>
        <w:t>万元。</w:t>
      </w:r>
    </w:p>
    <w:p w14:paraId="67148C16">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（四）验收范围</w:t>
      </w:r>
    </w:p>
    <w:p w14:paraId="798F2617">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本次验收范围为</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新乡市科博特起重机械有限公司年产1.2万吨道轨交通配件项目</w:t>
      </w:r>
      <w:r>
        <w:rPr>
          <w:rFonts w:hint="eastAsia" w:ascii="Times New Roman" w:hAnsi="Times New Roman" w:eastAsia="宋体" w:cs="Times New Roman"/>
          <w:sz w:val="24"/>
          <w:szCs w:val="24"/>
          <w:lang w:val="en-US" w:eastAsia="zh-CN"/>
        </w:rPr>
        <w:t>（一期）</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eastAsia="宋体" w:cs="Times New Roman"/>
          <w:sz w:val="24"/>
          <w:szCs w:val="24"/>
          <w:lang w:eastAsia="zh-CN"/>
        </w:rPr>
        <w:t>的主体工程、配套设施、辅助设施、环保设施的建设、运行及环保要求落实情况</w:t>
      </w:r>
      <w:r>
        <w:rPr>
          <w:rFonts w:hint="default" w:ascii="Times New Roman" w:hAnsi="Times New Roman" w:eastAsia="宋体" w:cs="Times New Roman"/>
          <w:sz w:val="24"/>
          <w:szCs w:val="24"/>
          <w:lang w:val="en-US" w:eastAsia="zh-CN"/>
        </w:rPr>
        <w:t>。</w:t>
      </w:r>
    </w:p>
    <w:p w14:paraId="73F31C4D">
      <w:pPr>
        <w:keepNext w:val="0"/>
        <w:keepLines w:val="0"/>
        <w:pageBreakBefore w:val="0"/>
        <w:widowControl/>
        <w:kinsoku/>
        <w:wordWrap/>
        <w:overflowPunct/>
        <w:topLinePunct w:val="0"/>
        <w:autoSpaceDE/>
        <w:autoSpaceDN/>
        <w:bidi w:val="0"/>
        <w:adjustRightInd w:val="0"/>
        <w:snapToGrid w:val="0"/>
        <w:spacing w:after="0" w:line="520" w:lineRule="exact"/>
        <w:ind w:firstLine="482" w:firstLineChars="200"/>
        <w:textAlignment w:val="auto"/>
        <w:rPr>
          <w:rFonts w:hint="default" w:ascii="Times New Roman" w:hAnsi="Times New Roman" w:eastAsia="宋体" w:cs="Times New Roman"/>
          <w:b/>
          <w:bCs/>
          <w:sz w:val="24"/>
          <w:szCs w:val="24"/>
          <w:lang w:eastAsia="zh-CN"/>
        </w:rPr>
      </w:pPr>
      <w:r>
        <w:rPr>
          <w:rFonts w:hint="default" w:ascii="Times New Roman" w:hAnsi="Times New Roman" w:eastAsia="宋体" w:cs="Times New Roman"/>
          <w:b/>
          <w:bCs/>
          <w:sz w:val="24"/>
          <w:szCs w:val="24"/>
          <w:lang w:eastAsia="zh-CN"/>
        </w:rPr>
        <w:t>二、工程变</w:t>
      </w:r>
      <w:r>
        <w:rPr>
          <w:rFonts w:hint="eastAsia" w:ascii="Times New Roman" w:hAnsi="Times New Roman" w:eastAsia="宋体" w:cs="Times New Roman"/>
          <w:b/>
          <w:bCs/>
          <w:sz w:val="24"/>
          <w:szCs w:val="24"/>
          <w:lang w:val="en-US" w:eastAsia="zh-CN"/>
        </w:rPr>
        <w:t>动</w:t>
      </w:r>
      <w:r>
        <w:rPr>
          <w:rFonts w:hint="default" w:ascii="Times New Roman" w:hAnsi="Times New Roman" w:eastAsia="宋体" w:cs="Times New Roman"/>
          <w:b/>
          <w:bCs/>
          <w:sz w:val="24"/>
          <w:szCs w:val="24"/>
          <w:lang w:eastAsia="zh-CN"/>
        </w:rPr>
        <w:t>情况</w:t>
      </w:r>
    </w:p>
    <w:p w14:paraId="116B82E4">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经现场勘察新乡市科博特起重机械有限公司《年产1.2万吨道轨交通配件项目</w:t>
      </w:r>
      <w:r>
        <w:rPr>
          <w:rFonts w:hint="eastAsia" w:ascii="Times New Roman" w:hAnsi="Times New Roman" w:eastAsia="宋体" w:cs="Times New Roman"/>
          <w:color w:val="auto"/>
          <w:sz w:val="24"/>
          <w:szCs w:val="24"/>
          <w:lang w:val="en-US" w:eastAsia="zh-CN"/>
        </w:rPr>
        <w:t>一期</w:t>
      </w:r>
      <w:r>
        <w:rPr>
          <w:rFonts w:hint="default" w:ascii="Times New Roman" w:hAnsi="Times New Roman" w:eastAsia="宋体" w:cs="Times New Roman"/>
          <w:color w:val="auto"/>
          <w:sz w:val="24"/>
          <w:szCs w:val="24"/>
          <w:lang w:val="en-US" w:eastAsia="zh-CN"/>
        </w:rPr>
        <w:t>》本项目分期建设，其中砂处理系统生产线为二期建设内容，其他建设内容均为一期建设，目前厂区旧砂委托长垣县恒祥伟业机械科技有限公司回收处理，处理后回用，旧砂回收协议见附件</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w:t>
      </w:r>
    </w:p>
    <w:p w14:paraId="07A2F47F">
      <w:pPr>
        <w:keepNext w:val="0"/>
        <w:keepLines w:val="0"/>
        <w:pageBreakBefore w:val="0"/>
        <w:widowControl/>
        <w:kinsoku/>
        <w:wordWrap/>
        <w:overflowPunct/>
        <w:topLinePunct w:val="0"/>
        <w:autoSpaceDE/>
        <w:autoSpaceDN/>
        <w:bidi w:val="0"/>
        <w:adjustRightInd/>
        <w:snapToGrid/>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本项目一期实际建设内容与环评一致，仅环保设备变动，经现场勘察，本项目熔炼与浇注工序</w:t>
      </w:r>
      <w:r>
        <w:rPr>
          <w:rFonts w:hint="eastAsia" w:ascii="Times New Roman" w:hAnsi="Times New Roman" w:eastAsia="宋体" w:cs="Times New Roman"/>
          <w:color w:val="auto"/>
          <w:sz w:val="24"/>
          <w:szCs w:val="24"/>
          <w:lang w:val="en-US" w:eastAsia="zh-CN"/>
        </w:rPr>
        <w:t>相距较近，</w:t>
      </w:r>
      <w:r>
        <w:rPr>
          <w:rFonts w:hint="default" w:ascii="Times New Roman" w:hAnsi="Times New Roman" w:eastAsia="宋体" w:cs="Times New Roman"/>
          <w:color w:val="auto"/>
          <w:sz w:val="24"/>
          <w:szCs w:val="24"/>
          <w:lang w:val="en-US" w:eastAsia="zh-CN"/>
        </w:rPr>
        <w:t>混砂与造型工序</w:t>
      </w:r>
      <w:r>
        <w:rPr>
          <w:rFonts w:hint="eastAsia" w:ascii="Times New Roman" w:hAnsi="Times New Roman" w:eastAsia="宋体" w:cs="Times New Roman"/>
          <w:color w:val="auto"/>
          <w:sz w:val="24"/>
          <w:szCs w:val="24"/>
          <w:lang w:val="en-US" w:eastAsia="zh-CN"/>
        </w:rPr>
        <w:t>相距较近，</w:t>
      </w:r>
      <w:r>
        <w:rPr>
          <w:rFonts w:hint="default" w:ascii="Times New Roman" w:hAnsi="Times New Roman" w:eastAsia="宋体" w:cs="Times New Roman"/>
          <w:color w:val="auto"/>
          <w:sz w:val="24"/>
          <w:szCs w:val="24"/>
          <w:lang w:val="en-US" w:eastAsia="zh-CN"/>
        </w:rPr>
        <w:t>因此，本项目熔炼与浇注工序共用1套袋式除尘器</w:t>
      </w:r>
      <w:r>
        <w:rPr>
          <w:rFonts w:hint="eastAsia" w:ascii="Times New Roman" w:hAnsi="Times New Roman" w:eastAsia="宋体" w:cs="Times New Roman"/>
          <w:color w:val="auto"/>
          <w:sz w:val="24"/>
          <w:szCs w:val="24"/>
          <w:lang w:val="en-US" w:eastAsia="zh-CN"/>
        </w:rPr>
        <w:t>（TA001）</w:t>
      </w:r>
      <w:r>
        <w:rPr>
          <w:rFonts w:hint="default" w:ascii="Times New Roman" w:hAnsi="Times New Roman" w:eastAsia="宋体" w:cs="Times New Roman"/>
          <w:color w:val="auto"/>
          <w:sz w:val="24"/>
          <w:szCs w:val="24"/>
          <w:lang w:val="en-US" w:eastAsia="zh-CN"/>
        </w:rPr>
        <w:t>，混砂与造型工序共用1套袋式除尘器</w:t>
      </w:r>
      <w:r>
        <w:rPr>
          <w:rFonts w:hint="eastAsia" w:ascii="Times New Roman" w:hAnsi="Times New Roman" w:eastAsia="宋体" w:cs="Times New Roman"/>
          <w:color w:val="auto"/>
          <w:sz w:val="24"/>
          <w:szCs w:val="24"/>
          <w:lang w:val="en-US" w:eastAsia="zh-CN"/>
        </w:rPr>
        <w:t>（TA004）</w:t>
      </w:r>
      <w:r>
        <w:rPr>
          <w:rFonts w:hint="default" w:ascii="Times New Roman" w:hAnsi="Times New Roman" w:eastAsia="宋体" w:cs="Times New Roman"/>
          <w:color w:val="auto"/>
          <w:sz w:val="24"/>
          <w:szCs w:val="24"/>
          <w:lang w:val="en-US" w:eastAsia="zh-CN"/>
        </w:rPr>
        <w:t>，不属于重大变动。</w:t>
      </w:r>
    </w:p>
    <w:p w14:paraId="44E0B45D">
      <w:pPr>
        <w:keepNext w:val="0"/>
        <w:keepLines w:val="0"/>
        <w:pageBreakBefore w:val="0"/>
        <w:widowControl/>
        <w:kinsoku/>
        <w:wordWrap/>
        <w:overflowPunct/>
        <w:topLinePunct w:val="0"/>
        <w:autoSpaceDE/>
        <w:autoSpaceDN/>
        <w:bidi w:val="0"/>
        <w:adjustRightInd w:val="0"/>
        <w:snapToGrid w:val="0"/>
        <w:spacing w:after="0" w:line="520" w:lineRule="exact"/>
        <w:ind w:firstLine="482" w:firstLineChars="200"/>
        <w:textAlignment w:val="auto"/>
        <w:rPr>
          <w:rFonts w:hint="default" w:ascii="Times New Roman" w:hAnsi="Times New Roman" w:eastAsia="宋体" w:cs="Times New Roman"/>
          <w:b/>
          <w:bCs/>
          <w:sz w:val="24"/>
          <w:szCs w:val="24"/>
          <w:lang w:eastAsia="zh-CN"/>
        </w:rPr>
      </w:pPr>
      <w:r>
        <w:rPr>
          <w:rFonts w:hint="default" w:ascii="Times New Roman" w:hAnsi="Times New Roman" w:eastAsia="宋体" w:cs="Times New Roman"/>
          <w:b/>
          <w:bCs/>
          <w:sz w:val="24"/>
          <w:szCs w:val="24"/>
          <w:lang w:eastAsia="zh-CN"/>
        </w:rPr>
        <w:t>三、环境保护设施建设情况</w:t>
      </w:r>
    </w:p>
    <w:p w14:paraId="13D2480A">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（1）废气：本项目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熔炼、浇注工序先经配套“袋式除尘器（TA001）+活性炭吸附装置（TA002）”处理；造型制芯、混砂经袋式除尘器（TA003）处理；抛丸、割冒口先经各自配套除尘器（TA004、TA005）处理，最后一同进入集中式布袋除尘器（TA006）进行处理，最终由15m排气筒排放（P1）</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；本项目废气经处理后可达标排放。</w:t>
      </w:r>
    </w:p>
    <w:p w14:paraId="394E76B3">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（2）废水：本项目无生产废水排放；生活污水经化粪池处理后排入长垣市第</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二</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污水处理厂。因此，本项目废水对周围环境影响较小。</w:t>
      </w:r>
    </w:p>
    <w:p w14:paraId="7BBB03B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（3）噪声：本项目噪声源经选用低噪声设备、隔声、减振措施后可达标排放，对区域环境基本无影响。</w:t>
      </w:r>
    </w:p>
    <w:p w14:paraId="2BD6AF4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（4）固体废物：本项目一般固废在厂区暂存后外售；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厂区设有</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危废暂存间，危险废物在厂区危废暂存间暂存后，定期交由资质单位处置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生活垃圾经垃圾桶收集后由当地环卫部门处置。因此，本项目固废对周围环境影响较小。</w:t>
      </w:r>
    </w:p>
    <w:p w14:paraId="5AAD45E2">
      <w:pPr>
        <w:keepNext w:val="0"/>
        <w:keepLines w:val="0"/>
        <w:pageBreakBefore w:val="0"/>
        <w:widowControl/>
        <w:kinsoku/>
        <w:wordWrap/>
        <w:overflowPunct/>
        <w:topLinePunct w:val="0"/>
        <w:autoSpaceDE/>
        <w:autoSpaceDN/>
        <w:bidi w:val="0"/>
        <w:adjustRightInd w:val="0"/>
        <w:snapToGrid w:val="0"/>
        <w:spacing w:after="0" w:line="520" w:lineRule="exact"/>
        <w:ind w:firstLine="482" w:firstLineChars="200"/>
        <w:textAlignment w:val="auto"/>
        <w:rPr>
          <w:rFonts w:hint="default" w:ascii="Times New Roman" w:hAnsi="Times New Roman" w:eastAsia="宋体" w:cs="Times New Roman"/>
          <w:b/>
          <w:bCs/>
          <w:sz w:val="24"/>
          <w:szCs w:val="24"/>
          <w:lang w:eastAsia="zh-CN"/>
        </w:rPr>
      </w:pPr>
      <w:r>
        <w:rPr>
          <w:rFonts w:hint="default" w:ascii="Times New Roman" w:hAnsi="Times New Roman" w:eastAsia="宋体" w:cs="Times New Roman"/>
          <w:b/>
          <w:bCs/>
          <w:sz w:val="24"/>
          <w:szCs w:val="24"/>
          <w:lang w:eastAsia="zh-CN"/>
        </w:rPr>
        <w:t>四、环境保护设施调试效果</w:t>
      </w:r>
    </w:p>
    <w:p w14:paraId="713997A1">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（一）污染物达标排放情况</w:t>
      </w:r>
    </w:p>
    <w:p w14:paraId="3CE5BF87">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根据《新乡市科博特起重机械有限公司年产1.2万吨道轨交通配件项目</w:t>
      </w:r>
      <w:r>
        <w:rPr>
          <w:rFonts w:hint="eastAsia" w:ascii="Times New Roman" w:hAnsi="Times New Roman" w:eastAsia="宋体" w:cs="Times New Roman"/>
          <w:sz w:val="24"/>
          <w:szCs w:val="24"/>
          <w:lang w:val="en-US" w:eastAsia="zh-CN"/>
        </w:rPr>
        <w:t>（一期）</w:t>
      </w:r>
      <w:r>
        <w:rPr>
          <w:rFonts w:hint="default" w:ascii="Times New Roman" w:hAnsi="Times New Roman" w:eastAsia="宋体" w:cs="Times New Roman"/>
          <w:sz w:val="24"/>
          <w:szCs w:val="24"/>
          <w:lang w:val="en-US" w:eastAsia="zh-CN"/>
        </w:rPr>
        <w:t>竣工环境保护验收监测报告》，监测期间，各环保设施运行正常，生产负荷符合监测期间工况要求。监测结果表明</w:t>
      </w:r>
      <w:r>
        <w:rPr>
          <w:rFonts w:hint="eastAsia" w:ascii="Times New Roman" w:hAnsi="Times New Roman" w:eastAsia="宋体" w:cs="Times New Roman"/>
          <w:sz w:val="24"/>
          <w:szCs w:val="24"/>
          <w:lang w:val="en-US" w:eastAsia="zh-CN"/>
        </w:rPr>
        <w:t>：</w:t>
      </w:r>
    </w:p>
    <w:p w14:paraId="1D8CE365">
      <w:pPr>
        <w:keepNext w:val="0"/>
        <w:keepLines w:val="0"/>
        <w:pageBreakBefore w:val="0"/>
        <w:widowControl/>
        <w:numPr>
          <w:ilvl w:val="0"/>
          <w:numId w:val="3"/>
        </w:numPr>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废气</w:t>
      </w:r>
    </w:p>
    <w:p w14:paraId="41357ADC">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firstLine="480" w:firstLineChars="200"/>
        <w:textAlignment w:val="auto"/>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本项目非甲烷总烃排放浓</w:t>
      </w:r>
      <w:r>
        <w:rPr>
          <w:rFonts w:hint="eastAsia" w:ascii="Times New Roman" w:hAnsi="Times New Roman" w:eastAsia="宋体" w:cs="Times New Roman"/>
          <w:b w:val="0"/>
          <w:bCs w:val="0"/>
          <w:color w:val="000000"/>
          <w:sz w:val="24"/>
          <w:szCs w:val="24"/>
          <w:u w:val="none"/>
          <w:lang w:val="en-US" w:eastAsia="zh-CN"/>
        </w:rPr>
        <w:t>度在7.18-7.61</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mg/m</w:t>
      </w:r>
      <w:r>
        <w:rPr>
          <w:rFonts w:hint="default" w:ascii="Times New Roman" w:hAnsi="Times New Roman" w:eastAsia="宋体" w:cs="Times New Roman"/>
          <w:b w:val="0"/>
          <w:bCs w:val="0"/>
          <w:color w:val="000000" w:themeColor="text1"/>
          <w:kern w:val="2"/>
          <w:sz w:val="24"/>
          <w:szCs w:val="24"/>
          <w:vertAlign w:val="superscript"/>
          <w:lang w:val="en-US" w:eastAsia="zh-CN" w:bidi="ar-SA"/>
          <w14:textFill>
            <w14:solidFill>
              <w14:schemeClr w14:val="tx1"/>
            </w14:solidFill>
          </w14:textFill>
        </w:rPr>
        <w:t>3</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之间，</w:t>
      </w:r>
      <w:r>
        <w:rPr>
          <w:rFonts w:hint="eastAsia" w:ascii="Times New Roman" w:hAnsi="Times New Roman" w:eastAsia="宋体" w:cs="Times New Roman"/>
          <w:b w:val="0"/>
          <w:bCs w:val="0"/>
          <w:color w:val="000000"/>
          <w:sz w:val="24"/>
          <w:szCs w:val="24"/>
          <w:u w:val="none"/>
          <w:lang w:val="en-US" w:eastAsia="zh-CN"/>
        </w:rPr>
        <w:t>满足《关于全省开展工业企业挥发性有机物专项治理工作中排放建议值的通知（豫环攻坚办〔2017〕162 号）》要求（</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排放浓度</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有组织8</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0mg/m</w:t>
      </w:r>
      <w:r>
        <w:rPr>
          <w:rFonts w:hint="default" w:ascii="Times New Roman" w:hAnsi="Times New Roman" w:eastAsia="宋体" w:cs="Times New Roman"/>
          <w:b w:val="0"/>
          <w:bCs w:val="0"/>
          <w:color w:val="000000" w:themeColor="text1"/>
          <w:kern w:val="2"/>
          <w:sz w:val="24"/>
          <w:szCs w:val="24"/>
          <w:vertAlign w:val="superscript"/>
          <w:lang w:val="en-US" w:eastAsia="zh-CN" w:bidi="ar-SA"/>
          <w14:textFill>
            <w14:solidFill>
              <w14:schemeClr w14:val="tx1"/>
            </w14:solidFill>
          </w14:textFill>
        </w:rPr>
        <w:t>3</w:t>
      </w:r>
      <w:r>
        <w:rPr>
          <w:rFonts w:hint="eastAsia" w:ascii="Times New Roman" w:hAnsi="Times New Roman" w:eastAsia="宋体" w:cs="Times New Roman"/>
          <w:b w:val="0"/>
          <w:bCs w:val="0"/>
          <w:color w:val="000000"/>
          <w:sz w:val="24"/>
          <w:szCs w:val="24"/>
          <w:u w:val="none"/>
          <w:lang w:val="en-US" w:eastAsia="zh-CN"/>
        </w:rPr>
        <w:t>）</w:t>
      </w:r>
      <w:r>
        <w:rPr>
          <w:rFonts w:hint="eastAsia" w:ascii="Times New Roman" w:hAnsi="Times New Roman" w:cs="Times New Roman"/>
          <w:b w:val="0"/>
          <w:bCs w:val="0"/>
          <w:color w:val="000000"/>
          <w:sz w:val="24"/>
          <w:szCs w:val="24"/>
          <w:u w:val="none"/>
          <w:lang w:val="en-US" w:eastAsia="zh-CN"/>
        </w:rPr>
        <w:t>；</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颗粒物放浓度在4.1-4.9mg/m</w:t>
      </w:r>
      <w:r>
        <w:rPr>
          <w:rFonts w:hint="eastAsia" w:ascii="Times New Roman" w:hAnsi="Times New Roman" w:eastAsia="宋体" w:cs="Times New Roman"/>
          <w:b w:val="0"/>
          <w:bCs w:val="0"/>
          <w:color w:val="000000" w:themeColor="text1"/>
          <w:kern w:val="2"/>
          <w:sz w:val="24"/>
          <w:szCs w:val="24"/>
          <w:vertAlign w:val="superscript"/>
          <w:lang w:val="en-US" w:eastAsia="zh-CN" w:bidi="ar-SA"/>
          <w14:textFill>
            <w14:solidFill>
              <w14:schemeClr w14:val="tx1"/>
            </w14:solidFill>
          </w14:textFill>
        </w:rPr>
        <w:t>3</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之间，</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满足《铸造工业大气污染物排放标准》</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GB39726-2020</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（有组织：</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3</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0mg/m</w:t>
      </w:r>
      <w:r>
        <w:rPr>
          <w:rFonts w:hint="default" w:ascii="Times New Roman" w:hAnsi="Times New Roman" w:eastAsia="宋体" w:cs="Times New Roman"/>
          <w:b w:val="0"/>
          <w:bCs w:val="0"/>
          <w:color w:val="000000" w:themeColor="text1"/>
          <w:kern w:val="2"/>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，同时满足《新乡市生态环境局关于进一步规范工业企业颗粒物排放限值的通知》要求（排放浓度</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有组织</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10mg/m</w:t>
      </w:r>
      <w:r>
        <w:rPr>
          <w:rFonts w:hint="default" w:ascii="Times New Roman" w:hAnsi="Times New Roman" w:eastAsia="宋体" w:cs="Times New Roman"/>
          <w:b w:val="0"/>
          <w:bCs w:val="0"/>
          <w:color w:val="000000" w:themeColor="text1"/>
          <w:kern w:val="2"/>
          <w:sz w:val="24"/>
          <w:szCs w:val="24"/>
          <w:vertAlign w:val="superscript"/>
          <w:lang w:val="en-US" w:eastAsia="zh-CN" w:bidi="ar-SA"/>
          <w14:textFill>
            <w14:solidFill>
              <w14:schemeClr w14:val="tx1"/>
            </w14:solidFill>
          </w14:textFill>
        </w:rPr>
        <w:t>3</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w:t>
      </w:r>
    </w:p>
    <w:p w14:paraId="1E06ACC1">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Chars="0" w:firstLine="480" w:firstLineChars="200"/>
        <w:textAlignment w:val="auto"/>
        <w:outlineLvl w:val="9"/>
        <w:rPr>
          <w:rFonts w:hint="default" w:ascii="Times New Roman" w:hAnsi="Times New Roman" w:cs="Times New Roman" w:eastAsiaTheme="minorEastAsia"/>
          <w:b w:val="0"/>
          <w:bCs w:val="0"/>
          <w:color w:val="000000" w:themeColor="text1"/>
          <w:sz w:val="24"/>
          <w:szCs w:val="24"/>
          <w:highlight w:val="yellow"/>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无组织废气中</w:t>
      </w: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非甲烷总</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烃</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排放浓度</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在0.40-0.66</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满足</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《关于全省开展工业企业挥发性有机物专项治理工作中排放建议值的通知》（豫环攻坚办〔2017〕162号）排放标准</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（2.0mg/m</w:t>
      </w:r>
      <w:r>
        <w:rPr>
          <w:rFonts w:hint="eastAsia" w:ascii="Times New Roman" w:hAnsi="Times New Roman" w:eastAsia="宋体" w:cs="Times New Roman"/>
          <w:color w:val="000000" w:themeColor="text1"/>
          <w:kern w:val="2"/>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w:t>
      </w:r>
      <w:r>
        <w:rPr>
          <w:rFonts w:hint="eastAsia" w:ascii="Times New Roman" w:hAnsi="Times New Roman" w:eastAsia="宋体" w:cs="Times New Roman"/>
          <w:sz w:val="24"/>
          <w:szCs w:val="24"/>
          <w:vertAlign w:val="baseline"/>
          <w:lang w:eastAsia="zh-CN"/>
        </w:rPr>
        <w:t>颗粒物</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排放浓度</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在0.246-0.336</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eastAsia" w:ascii="Times New Roman" w:hAnsi="Times New Roman" w:eastAsia="宋体" w:cs="Times New Roman"/>
          <w:sz w:val="24"/>
          <w:szCs w:val="24"/>
          <w:vertAlign w:val="baseline"/>
          <w:lang w:eastAsia="zh-CN"/>
        </w:rPr>
        <w:t>之间，满足</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《新乡市生态环境局关于进一步规范工业企业颗粒物排放限值的通知》要求（颗粒物</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0.5</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mg/m</w:t>
      </w:r>
      <w:r>
        <w:rPr>
          <w:rFonts w:hint="default" w:ascii="Times New Roman" w:hAnsi="Times New Roman" w:eastAsia="宋体" w:cs="Times New Roman"/>
          <w:color w:val="000000" w:themeColor="text1"/>
          <w:kern w:val="2"/>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kern w:val="2"/>
          <w:sz w:val="24"/>
          <w:szCs w:val="24"/>
          <w:lang w:val="en-US" w:eastAsia="zh-CN"/>
          <w14:textFill>
            <w14:solidFill>
              <w14:schemeClr w14:val="tx1"/>
            </w14:solidFill>
          </w14:textFill>
        </w:rPr>
        <w:t>）。</w:t>
      </w:r>
    </w:p>
    <w:p w14:paraId="2B1DF079">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（2）废水</w:t>
      </w:r>
    </w:p>
    <w:p w14:paraId="76669230">
      <w:pPr>
        <w:keepNext w:val="0"/>
        <w:keepLines w:val="0"/>
        <w:pageBreakBefore w:val="0"/>
        <w:widowControl/>
        <w:numPr>
          <w:ilvl w:val="0"/>
          <w:numId w:val="0"/>
        </w:numPr>
        <w:kinsoku/>
        <w:wordWrap/>
        <w:overflowPunct/>
        <w:topLinePunct w:val="0"/>
        <w:autoSpaceDE/>
        <w:autoSpaceDN/>
        <w:bidi w:val="0"/>
        <w:adjustRightInd/>
        <w:snapToGrid/>
        <w:spacing w:after="0" w:afterLines="0" w:line="520" w:lineRule="exact"/>
        <w:ind w:left="0" w:leftChars="0" w:firstLine="480" w:firstLineChars="200"/>
        <w:textAlignment w:val="auto"/>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本项目生活污水经厂区化</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粪池处理后COD为</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122-141</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BOD</w:t>
      </w:r>
      <w:r>
        <w:rPr>
          <w:rFonts w:hint="default" w:ascii="Times New Roman" w:hAnsi="Times New Roman" w:cs="Times New Roman" w:eastAsiaTheme="minorEastAsia"/>
          <w:color w:val="000000" w:themeColor="text1"/>
          <w:sz w:val="24"/>
          <w:szCs w:val="24"/>
          <w:highlight w:val="none"/>
          <w:vertAlign w:val="subscript"/>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为</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40.3-46.5</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 xml:space="preserve">mg/L </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SS为</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74-84</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氨氮为</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13.3-15.3</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、总氮为27.8-29.2</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、总磷为0.984-1.08</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mg/L均满足《污水综合排放标准》（GB897</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8-1996）表4三级标准</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和长垣市第二污水处理厂收水标准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14:paraId="74CE3E6F">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（3）噪声</w:t>
      </w:r>
    </w:p>
    <w:p w14:paraId="181383FD">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本项目厂界昼间噪声在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51</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dB（A）之间，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夜间40-44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dB（A）</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符合《工业企业厂界环境噪声排放标准》（GB</w:t>
      </w:r>
      <w:r>
        <w:rPr>
          <w:rFonts w:hint="default" w:ascii="Times New Roman" w:hAnsi="Times New Roman" w:cs="Times New Roman" w:eastAsiaTheme="minorEastAsia"/>
          <w:b w:val="0"/>
          <w:bCs w:val="0"/>
          <w:color w:val="000000" w:themeColor="text1"/>
          <w:sz w:val="24"/>
          <w:szCs w:val="21"/>
          <w:lang w:val="en-US" w:eastAsia="zh-CN"/>
          <w14:textFill>
            <w14:solidFill>
              <w14:schemeClr w14:val="tx1"/>
            </w14:solidFill>
          </w14:textFill>
        </w:rPr>
        <w:t>12348</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b w:val="0"/>
          <w:bCs w:val="0"/>
          <w:color w:val="000000" w:themeColor="text1"/>
          <w:sz w:val="24"/>
          <w:szCs w:val="21"/>
          <w:lang w:val="en-US" w:eastAsia="zh-CN"/>
          <w14:textFill>
            <w14:solidFill>
              <w14:schemeClr w14:val="tx1"/>
            </w14:solidFill>
          </w14:textFill>
        </w:rPr>
        <w:t>2008）2</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类标准</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5E365612">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（4）固废</w:t>
      </w:r>
    </w:p>
    <w:p w14:paraId="2D32F64D">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本项目一般固废在厂区暂存后外售；危险废物暂存后定期交由有危废处理资质的单位进行处理；生活垃圾经收集后由当地环卫部门处置。</w:t>
      </w:r>
      <w:r>
        <w:rPr>
          <w:rFonts w:hint="default" w:ascii="Times New Roman" w:hAnsi="Times New Roman" w:eastAsia="宋体" w:cs="Times New Roman"/>
          <w:sz w:val="24"/>
          <w:szCs w:val="24"/>
          <w:lang w:val="en-US" w:eastAsia="zh-CN"/>
        </w:rPr>
        <w:t>固体废物经采取上述处理措施，不对外排放，对周围环境不会造成污染影响。因此本次验收监测不涉及固体废物的监测。</w:t>
      </w:r>
    </w:p>
    <w:p w14:paraId="6A308FAC">
      <w:pPr>
        <w:keepNext w:val="0"/>
        <w:keepLines w:val="0"/>
        <w:pageBreakBefore w:val="0"/>
        <w:widowControl/>
        <w:kinsoku/>
        <w:wordWrap/>
        <w:overflowPunct/>
        <w:topLinePunct w:val="0"/>
        <w:autoSpaceDE/>
        <w:autoSpaceDN/>
        <w:bidi w:val="0"/>
        <w:adjustRightInd w:val="0"/>
        <w:snapToGrid w:val="0"/>
        <w:spacing w:after="0" w:line="520" w:lineRule="exact"/>
        <w:ind w:firstLine="482" w:firstLineChars="200"/>
        <w:textAlignment w:val="auto"/>
        <w:rPr>
          <w:rFonts w:hint="default" w:ascii="Times New Roman" w:hAnsi="Times New Roman" w:eastAsia="宋体" w:cs="Times New Roman"/>
          <w:b/>
          <w:bCs/>
          <w:sz w:val="24"/>
          <w:szCs w:val="24"/>
          <w:lang w:eastAsia="zh-CN"/>
        </w:rPr>
      </w:pPr>
      <w:r>
        <w:rPr>
          <w:rFonts w:hint="default" w:ascii="Times New Roman" w:hAnsi="Times New Roman" w:eastAsia="宋体" w:cs="Times New Roman"/>
          <w:b/>
          <w:bCs/>
          <w:sz w:val="24"/>
          <w:szCs w:val="24"/>
          <w:lang w:eastAsia="zh-CN"/>
        </w:rPr>
        <w:t>五、验收结论</w:t>
      </w:r>
    </w:p>
    <w:p w14:paraId="76B27491">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根据该项目竣工环境保护验收监测报告及现场核查，该项目环保手续完备，执行了环境影响评价及三同时管理制度，基本落实了环评报告及其批复规定的各项环境污染防治措施。各项污染物能够实现达标排放或合理处理处置。</w:t>
      </w:r>
    </w:p>
    <w:p w14:paraId="40E98B0F">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综上所述，</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新乡市科博特起重机械有限公司年产1.2万吨道轨交通配件项目</w:t>
      </w:r>
      <w:r>
        <w:rPr>
          <w:rFonts w:hint="eastAsia" w:ascii="Times New Roman" w:hAnsi="Times New Roman" w:eastAsia="宋体" w:cs="Times New Roman"/>
          <w:sz w:val="24"/>
          <w:szCs w:val="24"/>
          <w:lang w:val="en-US" w:eastAsia="zh-CN"/>
        </w:rPr>
        <w:t>（一期）</w:t>
      </w:r>
      <w:r>
        <w:rPr>
          <w:rFonts w:hint="default" w:ascii="Times New Roman" w:hAnsi="Times New Roman" w:eastAsia="宋体" w:cs="Times New Roman"/>
          <w:sz w:val="24"/>
          <w:szCs w:val="24"/>
          <w:lang w:val="en-US" w:eastAsia="zh-CN"/>
        </w:rPr>
        <w:t>竣工环境保护验收</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val="en-US" w:eastAsia="zh-CN"/>
        </w:rPr>
        <w:t>不存在《建设项目竣工环境保护暂行办法》中所规定的验收不合格情形，验收组一致同意本项目通过项目竣工环境保护验收。</w:t>
      </w:r>
    </w:p>
    <w:p w14:paraId="62317052">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建议：</w:t>
      </w:r>
    </w:p>
    <w:p w14:paraId="7762DC26">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 xml:space="preserve">1. </w:t>
      </w:r>
      <w:r>
        <w:rPr>
          <w:rFonts w:hint="default" w:ascii="Times New Roman" w:hAnsi="Times New Roman" w:eastAsia="宋体" w:cs="Times New Roman"/>
          <w:sz w:val="24"/>
          <w:szCs w:val="24"/>
        </w:rPr>
        <w:t>对各种污染防治措施加强管理，发现问题及时采取措施解决，确保污染治理设施能够长期稳定运行，做到污染物稳定达标排放。</w:t>
      </w:r>
    </w:p>
    <w:p w14:paraId="26C31B8A">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eastAsia" w:ascii="Times New Roman" w:hAnsi="Times New Roman" w:eastAsia="宋体" w:cs="Times New Roman"/>
          <w:sz w:val="24"/>
          <w:szCs w:val="24"/>
          <w:lang w:eastAsia="zh-CN"/>
        </w:rPr>
        <w:sectPr>
          <w:pgSz w:w="11906" w:h="16838"/>
          <w:pgMar w:top="1440" w:right="1800" w:bottom="1440" w:left="1800" w:header="851" w:footer="992" w:gutter="0"/>
          <w:cols w:space="425" w:num="1"/>
          <w:docGrid w:type="lines" w:linePitch="312" w:charSpace="0"/>
        </w:sectPr>
      </w:pPr>
      <w:r>
        <w:rPr>
          <w:rFonts w:hint="default" w:ascii="Times New Roman" w:hAnsi="Times New Roman" w:eastAsia="宋体" w:cs="Times New Roman"/>
          <w:sz w:val="24"/>
          <w:szCs w:val="24"/>
          <w:lang w:val="en-US" w:eastAsia="zh-CN"/>
        </w:rPr>
        <w:t>2. 认真落实各项环境保护制度</w:t>
      </w:r>
      <w:r>
        <w:rPr>
          <w:rFonts w:hint="default" w:ascii="Times New Roman" w:hAnsi="Times New Roman" w:eastAsia="宋体" w:cs="Times New Roman"/>
          <w:sz w:val="24"/>
          <w:szCs w:val="24"/>
        </w:rPr>
        <w:t>，规范环保标</w:t>
      </w:r>
      <w:r>
        <w:rPr>
          <w:rFonts w:hint="eastAsia" w:ascii="Times New Roman" w:hAnsi="Times New Roman" w:eastAsia="宋体" w:cs="Times New Roman"/>
          <w:sz w:val="24"/>
          <w:szCs w:val="24"/>
          <w:lang w:eastAsia="zh-CN"/>
        </w:rPr>
        <w:t>。</w:t>
      </w:r>
    </w:p>
    <w:p w14:paraId="353213BF">
      <w:pPr>
        <w:rPr>
          <w:rFonts w:hint="default"/>
          <w:lang w:val="en-US" w:eastAsia="zh-CN"/>
        </w:rPr>
      </w:pPr>
      <w:r>
        <w:rPr>
          <w:rFonts w:hint="eastAsia"/>
          <w:lang w:eastAsia="zh-CN"/>
        </w:rPr>
        <w:drawing>
          <wp:inline distT="0" distB="0" distL="114300" distR="114300">
            <wp:extent cx="5266690" cy="7369810"/>
            <wp:effectExtent l="0" t="0" r="10160" b="2540"/>
            <wp:docPr id="4" name="图片 4" descr="27ba2aa5fb8f9205b6b9022640a6be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7ba2aa5fb8f9205b6b9022640a6bea8"/>
                    <pic:cNvPicPr>
                      <a:picLocks noChangeAspect="1"/>
                    </pic:cNvPicPr>
                  </pic:nvPicPr>
                  <pic:blipFill>
                    <a:blip r:embed="rId27"/>
                    <a:stretch>
                      <a:fillRect/>
                    </a:stretch>
                  </pic:blipFill>
                  <pic:spPr>
                    <a:xfrm rot="10800000">
                      <a:off x="0" y="0"/>
                      <a:ext cx="5266690" cy="7369810"/>
                    </a:xfrm>
                    <a:prstGeom prst="rect">
                      <a:avLst/>
                    </a:prstGeom>
                  </pic:spPr>
                </pic:pic>
              </a:graphicData>
            </a:graphic>
          </wp:inline>
        </w:drawing>
      </w:r>
    </w:p>
    <w:p w14:paraId="397FD12A">
      <w:pPr>
        <w:rPr>
          <w:rFonts w:hint="default"/>
          <w:lang w:val="en-US" w:eastAsia="zh-CN"/>
        </w:rPr>
      </w:pPr>
    </w:p>
    <w:sectPr>
      <w:pgSz w:w="11906" w:h="16838"/>
      <w:pgMar w:top="1440" w:right="1080" w:bottom="1440" w:left="108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ESI宋体-GB2312">
    <w:altName w:val="宋体"/>
    <w:panose1 w:val="02000500000000000000"/>
    <w:charset w:val="86"/>
    <w:family w:val="auto"/>
    <w:pitch w:val="default"/>
    <w:sig w:usb0="00000000" w:usb1="00000000" w:usb2="00000010"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6FBEA">
    <w:pPr>
      <w:pStyle w:val="1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327AB4">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3A327AB4">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5212B7">
    <w:pPr>
      <w:pStyle w:val="1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AA3058"/>
    <w:multiLevelType w:val="singleLevel"/>
    <w:tmpl w:val="83AA3058"/>
    <w:lvl w:ilvl="0" w:tentative="0">
      <w:start w:val="1"/>
      <w:numFmt w:val="decimal"/>
      <w:suff w:val="nothing"/>
      <w:lvlText w:val="%1、"/>
      <w:lvlJc w:val="left"/>
    </w:lvl>
  </w:abstractNum>
  <w:abstractNum w:abstractNumId="1">
    <w:nsid w:val="C5F5CDFE"/>
    <w:multiLevelType w:val="singleLevel"/>
    <w:tmpl w:val="C5F5CDFE"/>
    <w:lvl w:ilvl="0" w:tentative="0">
      <w:start w:val="1"/>
      <w:numFmt w:val="decimal"/>
      <w:suff w:val="nothing"/>
      <w:lvlText w:val="%1、"/>
      <w:lvlJc w:val="left"/>
    </w:lvl>
  </w:abstractNum>
  <w:abstractNum w:abstractNumId="2">
    <w:nsid w:val="2E97FC25"/>
    <w:multiLevelType w:val="singleLevel"/>
    <w:tmpl w:val="2E97FC25"/>
    <w:lvl w:ilvl="0" w:tentative="0">
      <w:start w:val="1"/>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kzMzJlNWIxYmJkMjA5Yjc4ZTFlNWVkMTBkMmE5NTYifQ=="/>
  </w:docVars>
  <w:rsids>
    <w:rsidRoot w:val="3F4B1CA0"/>
    <w:rsid w:val="000C024B"/>
    <w:rsid w:val="000D75DB"/>
    <w:rsid w:val="00186BF0"/>
    <w:rsid w:val="00356250"/>
    <w:rsid w:val="003C11CB"/>
    <w:rsid w:val="003F417C"/>
    <w:rsid w:val="00537B50"/>
    <w:rsid w:val="005A7208"/>
    <w:rsid w:val="005C4D2E"/>
    <w:rsid w:val="00665BAD"/>
    <w:rsid w:val="006F6DD1"/>
    <w:rsid w:val="00705104"/>
    <w:rsid w:val="00753C1F"/>
    <w:rsid w:val="00996A3B"/>
    <w:rsid w:val="00A43006"/>
    <w:rsid w:val="00A46FB1"/>
    <w:rsid w:val="00B604CD"/>
    <w:rsid w:val="00B92359"/>
    <w:rsid w:val="00B92BAA"/>
    <w:rsid w:val="00C81E23"/>
    <w:rsid w:val="00E049A6"/>
    <w:rsid w:val="010C27DA"/>
    <w:rsid w:val="011D08BD"/>
    <w:rsid w:val="01260E98"/>
    <w:rsid w:val="01320D0D"/>
    <w:rsid w:val="01400C4A"/>
    <w:rsid w:val="014337F8"/>
    <w:rsid w:val="015058A7"/>
    <w:rsid w:val="01515CA4"/>
    <w:rsid w:val="015C59DD"/>
    <w:rsid w:val="01650568"/>
    <w:rsid w:val="017E63B3"/>
    <w:rsid w:val="018A7679"/>
    <w:rsid w:val="019458FC"/>
    <w:rsid w:val="01C16C2C"/>
    <w:rsid w:val="01D07FD8"/>
    <w:rsid w:val="01D54ECF"/>
    <w:rsid w:val="01E6100D"/>
    <w:rsid w:val="01E95BE8"/>
    <w:rsid w:val="022928A2"/>
    <w:rsid w:val="0245244C"/>
    <w:rsid w:val="02551A35"/>
    <w:rsid w:val="025E530E"/>
    <w:rsid w:val="026030C8"/>
    <w:rsid w:val="02651E62"/>
    <w:rsid w:val="02733B7E"/>
    <w:rsid w:val="02761592"/>
    <w:rsid w:val="02777083"/>
    <w:rsid w:val="027E055D"/>
    <w:rsid w:val="02833A50"/>
    <w:rsid w:val="028A6FD2"/>
    <w:rsid w:val="0294709C"/>
    <w:rsid w:val="0297204E"/>
    <w:rsid w:val="02A97FD3"/>
    <w:rsid w:val="02BA3F8E"/>
    <w:rsid w:val="02BA5D3C"/>
    <w:rsid w:val="02BB454A"/>
    <w:rsid w:val="02BB5CB2"/>
    <w:rsid w:val="02BD45F7"/>
    <w:rsid w:val="02CB0DDA"/>
    <w:rsid w:val="02D01D1F"/>
    <w:rsid w:val="02D52B76"/>
    <w:rsid w:val="02F73C38"/>
    <w:rsid w:val="02FA10B5"/>
    <w:rsid w:val="03022972"/>
    <w:rsid w:val="030651FE"/>
    <w:rsid w:val="031614DD"/>
    <w:rsid w:val="0323236C"/>
    <w:rsid w:val="03343D40"/>
    <w:rsid w:val="0335629C"/>
    <w:rsid w:val="03577A2F"/>
    <w:rsid w:val="036A3FA2"/>
    <w:rsid w:val="03705062"/>
    <w:rsid w:val="03721F68"/>
    <w:rsid w:val="039A55F9"/>
    <w:rsid w:val="03A05300"/>
    <w:rsid w:val="03CC64F1"/>
    <w:rsid w:val="03D34C17"/>
    <w:rsid w:val="03D352CC"/>
    <w:rsid w:val="03D354A3"/>
    <w:rsid w:val="03E0120C"/>
    <w:rsid w:val="03EB2BDE"/>
    <w:rsid w:val="03FA20DB"/>
    <w:rsid w:val="03FC5589"/>
    <w:rsid w:val="03FF396C"/>
    <w:rsid w:val="04130F5E"/>
    <w:rsid w:val="041B51EA"/>
    <w:rsid w:val="04260F9E"/>
    <w:rsid w:val="042A0CA0"/>
    <w:rsid w:val="04715A73"/>
    <w:rsid w:val="04775247"/>
    <w:rsid w:val="047913C1"/>
    <w:rsid w:val="048833C9"/>
    <w:rsid w:val="04BA64C7"/>
    <w:rsid w:val="04C527B1"/>
    <w:rsid w:val="04D83D7B"/>
    <w:rsid w:val="04E17B70"/>
    <w:rsid w:val="04EC4003"/>
    <w:rsid w:val="04FD23E8"/>
    <w:rsid w:val="05107125"/>
    <w:rsid w:val="05117F2B"/>
    <w:rsid w:val="051E7DB2"/>
    <w:rsid w:val="051F6F34"/>
    <w:rsid w:val="052009A9"/>
    <w:rsid w:val="05355B4E"/>
    <w:rsid w:val="053C7961"/>
    <w:rsid w:val="05486A0C"/>
    <w:rsid w:val="05614B95"/>
    <w:rsid w:val="05665CA4"/>
    <w:rsid w:val="056A6C7A"/>
    <w:rsid w:val="05740424"/>
    <w:rsid w:val="057874B3"/>
    <w:rsid w:val="058B2441"/>
    <w:rsid w:val="059917F3"/>
    <w:rsid w:val="05A30E9E"/>
    <w:rsid w:val="05A625A8"/>
    <w:rsid w:val="05AD3936"/>
    <w:rsid w:val="05C01126"/>
    <w:rsid w:val="05C361E1"/>
    <w:rsid w:val="05C649F8"/>
    <w:rsid w:val="05D31443"/>
    <w:rsid w:val="05D46790"/>
    <w:rsid w:val="05D47115"/>
    <w:rsid w:val="05DA4C42"/>
    <w:rsid w:val="05DD3341"/>
    <w:rsid w:val="05DD6E4E"/>
    <w:rsid w:val="05DF4D13"/>
    <w:rsid w:val="05E7509A"/>
    <w:rsid w:val="05EB6551"/>
    <w:rsid w:val="061053DF"/>
    <w:rsid w:val="06265752"/>
    <w:rsid w:val="062B162F"/>
    <w:rsid w:val="064E0C6B"/>
    <w:rsid w:val="06510766"/>
    <w:rsid w:val="066265E2"/>
    <w:rsid w:val="066F6E3E"/>
    <w:rsid w:val="06782196"/>
    <w:rsid w:val="067A38E7"/>
    <w:rsid w:val="067A717A"/>
    <w:rsid w:val="068834BD"/>
    <w:rsid w:val="069C71B7"/>
    <w:rsid w:val="06A94649"/>
    <w:rsid w:val="06AD62E4"/>
    <w:rsid w:val="06B036DE"/>
    <w:rsid w:val="06B238FA"/>
    <w:rsid w:val="06B84730"/>
    <w:rsid w:val="06C81892"/>
    <w:rsid w:val="06DD41F9"/>
    <w:rsid w:val="06EC048E"/>
    <w:rsid w:val="06FA0F5D"/>
    <w:rsid w:val="071D2E61"/>
    <w:rsid w:val="0739666A"/>
    <w:rsid w:val="074A23CE"/>
    <w:rsid w:val="074B2440"/>
    <w:rsid w:val="07533B82"/>
    <w:rsid w:val="07593D76"/>
    <w:rsid w:val="07601E09"/>
    <w:rsid w:val="07626812"/>
    <w:rsid w:val="076444C8"/>
    <w:rsid w:val="07807554"/>
    <w:rsid w:val="07825BA3"/>
    <w:rsid w:val="078A7459"/>
    <w:rsid w:val="07B92A66"/>
    <w:rsid w:val="07BF120C"/>
    <w:rsid w:val="07C82CA9"/>
    <w:rsid w:val="07D15676"/>
    <w:rsid w:val="07D93372"/>
    <w:rsid w:val="07D94EB6"/>
    <w:rsid w:val="07DB6A5D"/>
    <w:rsid w:val="07EC4BEA"/>
    <w:rsid w:val="07F81AAA"/>
    <w:rsid w:val="080041F1"/>
    <w:rsid w:val="08054353"/>
    <w:rsid w:val="08416422"/>
    <w:rsid w:val="08514A4D"/>
    <w:rsid w:val="085224A3"/>
    <w:rsid w:val="086D0C85"/>
    <w:rsid w:val="08730E67"/>
    <w:rsid w:val="087370B9"/>
    <w:rsid w:val="08755683"/>
    <w:rsid w:val="087F3CE9"/>
    <w:rsid w:val="089D4136"/>
    <w:rsid w:val="08B976DE"/>
    <w:rsid w:val="08C47915"/>
    <w:rsid w:val="08CE42EF"/>
    <w:rsid w:val="08D54A57"/>
    <w:rsid w:val="08E62D28"/>
    <w:rsid w:val="08EC3DDD"/>
    <w:rsid w:val="08FA1588"/>
    <w:rsid w:val="08FE6BEA"/>
    <w:rsid w:val="08FF5B7A"/>
    <w:rsid w:val="093911AF"/>
    <w:rsid w:val="09426E2B"/>
    <w:rsid w:val="095B3E16"/>
    <w:rsid w:val="096A3EEA"/>
    <w:rsid w:val="098004AE"/>
    <w:rsid w:val="099B40A7"/>
    <w:rsid w:val="099F04A5"/>
    <w:rsid w:val="09AB1B94"/>
    <w:rsid w:val="09B478C0"/>
    <w:rsid w:val="09CA1445"/>
    <w:rsid w:val="09D705CF"/>
    <w:rsid w:val="09D75426"/>
    <w:rsid w:val="09E24556"/>
    <w:rsid w:val="09E65669"/>
    <w:rsid w:val="09E7514C"/>
    <w:rsid w:val="09EA59EB"/>
    <w:rsid w:val="0A01246E"/>
    <w:rsid w:val="0A074223"/>
    <w:rsid w:val="0A09205D"/>
    <w:rsid w:val="0A0A6F8A"/>
    <w:rsid w:val="0A0F6089"/>
    <w:rsid w:val="0A1641A0"/>
    <w:rsid w:val="0A2A7C4B"/>
    <w:rsid w:val="0A486323"/>
    <w:rsid w:val="0A50774B"/>
    <w:rsid w:val="0A7109E2"/>
    <w:rsid w:val="0A7A4830"/>
    <w:rsid w:val="0A7E69B5"/>
    <w:rsid w:val="0A976649"/>
    <w:rsid w:val="0AC41E4E"/>
    <w:rsid w:val="0AC90BD0"/>
    <w:rsid w:val="0AD53B4D"/>
    <w:rsid w:val="0AD55E09"/>
    <w:rsid w:val="0AD61B81"/>
    <w:rsid w:val="0B1960B9"/>
    <w:rsid w:val="0B297898"/>
    <w:rsid w:val="0B31588C"/>
    <w:rsid w:val="0B3C7C36"/>
    <w:rsid w:val="0B442ECB"/>
    <w:rsid w:val="0B6B22C9"/>
    <w:rsid w:val="0B740CB4"/>
    <w:rsid w:val="0B8A6610"/>
    <w:rsid w:val="0B8B2FC0"/>
    <w:rsid w:val="0B8E1833"/>
    <w:rsid w:val="0B9A49D2"/>
    <w:rsid w:val="0BA05685"/>
    <w:rsid w:val="0BA6652C"/>
    <w:rsid w:val="0BBC0D77"/>
    <w:rsid w:val="0BC814CA"/>
    <w:rsid w:val="0BD17EE0"/>
    <w:rsid w:val="0BF73B5D"/>
    <w:rsid w:val="0BFD2E61"/>
    <w:rsid w:val="0C00431D"/>
    <w:rsid w:val="0C0145B8"/>
    <w:rsid w:val="0C085D6A"/>
    <w:rsid w:val="0C170994"/>
    <w:rsid w:val="0C1C1816"/>
    <w:rsid w:val="0C25691C"/>
    <w:rsid w:val="0C29234F"/>
    <w:rsid w:val="0C2C3201"/>
    <w:rsid w:val="0C3404EB"/>
    <w:rsid w:val="0C483C34"/>
    <w:rsid w:val="0C4B79FF"/>
    <w:rsid w:val="0C5A2708"/>
    <w:rsid w:val="0C680125"/>
    <w:rsid w:val="0C6B2558"/>
    <w:rsid w:val="0C6B4D57"/>
    <w:rsid w:val="0C6F5686"/>
    <w:rsid w:val="0C8278CB"/>
    <w:rsid w:val="0C870A1A"/>
    <w:rsid w:val="0C905263"/>
    <w:rsid w:val="0CA0388E"/>
    <w:rsid w:val="0CA57A5D"/>
    <w:rsid w:val="0CB30325"/>
    <w:rsid w:val="0CCA0797"/>
    <w:rsid w:val="0CCC6D98"/>
    <w:rsid w:val="0CCF6888"/>
    <w:rsid w:val="0CDB6FDB"/>
    <w:rsid w:val="0CDD66B7"/>
    <w:rsid w:val="0CFA776B"/>
    <w:rsid w:val="0D1132E9"/>
    <w:rsid w:val="0D18022F"/>
    <w:rsid w:val="0D1A73E8"/>
    <w:rsid w:val="0D243D96"/>
    <w:rsid w:val="0D321420"/>
    <w:rsid w:val="0D3A1302"/>
    <w:rsid w:val="0D470B14"/>
    <w:rsid w:val="0D535407"/>
    <w:rsid w:val="0D5C776E"/>
    <w:rsid w:val="0D5D6093"/>
    <w:rsid w:val="0D727C59"/>
    <w:rsid w:val="0D7B050D"/>
    <w:rsid w:val="0D7B7B3D"/>
    <w:rsid w:val="0D806436"/>
    <w:rsid w:val="0D8458C4"/>
    <w:rsid w:val="0D8758C2"/>
    <w:rsid w:val="0D8D69F0"/>
    <w:rsid w:val="0D924CC9"/>
    <w:rsid w:val="0D9D75F0"/>
    <w:rsid w:val="0DB57F52"/>
    <w:rsid w:val="0DCC2747"/>
    <w:rsid w:val="0DE50247"/>
    <w:rsid w:val="0DEF5D38"/>
    <w:rsid w:val="0DF13C5B"/>
    <w:rsid w:val="0DF539EE"/>
    <w:rsid w:val="0DF742E8"/>
    <w:rsid w:val="0E2D2DB4"/>
    <w:rsid w:val="0E3D295E"/>
    <w:rsid w:val="0E4868F2"/>
    <w:rsid w:val="0E4D6A03"/>
    <w:rsid w:val="0E501BC4"/>
    <w:rsid w:val="0E551706"/>
    <w:rsid w:val="0E572FD9"/>
    <w:rsid w:val="0E5F06F5"/>
    <w:rsid w:val="0E6B438E"/>
    <w:rsid w:val="0E6E3866"/>
    <w:rsid w:val="0E795066"/>
    <w:rsid w:val="0E8835C8"/>
    <w:rsid w:val="0EB77ABC"/>
    <w:rsid w:val="0EBC4BEA"/>
    <w:rsid w:val="0ED0219A"/>
    <w:rsid w:val="0ED63CEB"/>
    <w:rsid w:val="0EDB7766"/>
    <w:rsid w:val="0F0C6842"/>
    <w:rsid w:val="0F1D59AD"/>
    <w:rsid w:val="0F334D8F"/>
    <w:rsid w:val="0F431CDC"/>
    <w:rsid w:val="0F4B48EC"/>
    <w:rsid w:val="0F4D2803"/>
    <w:rsid w:val="0F4F25B7"/>
    <w:rsid w:val="0F916077"/>
    <w:rsid w:val="0F957915"/>
    <w:rsid w:val="0FA51A1F"/>
    <w:rsid w:val="0FB75D90"/>
    <w:rsid w:val="0FCC5687"/>
    <w:rsid w:val="0FD21598"/>
    <w:rsid w:val="0FDC19E8"/>
    <w:rsid w:val="0FE12B5A"/>
    <w:rsid w:val="0FE13FF9"/>
    <w:rsid w:val="0FE97C61"/>
    <w:rsid w:val="0FEF171B"/>
    <w:rsid w:val="0FFF2361"/>
    <w:rsid w:val="103B3222"/>
    <w:rsid w:val="10471EAC"/>
    <w:rsid w:val="10707820"/>
    <w:rsid w:val="1072291A"/>
    <w:rsid w:val="107A3BDD"/>
    <w:rsid w:val="109127D2"/>
    <w:rsid w:val="109202C7"/>
    <w:rsid w:val="10B5164E"/>
    <w:rsid w:val="10B657AF"/>
    <w:rsid w:val="10BE7517"/>
    <w:rsid w:val="10EC17B7"/>
    <w:rsid w:val="10EC6DE6"/>
    <w:rsid w:val="10F205E3"/>
    <w:rsid w:val="10FD39C4"/>
    <w:rsid w:val="112076B2"/>
    <w:rsid w:val="11254CC9"/>
    <w:rsid w:val="114C46F3"/>
    <w:rsid w:val="115D3859"/>
    <w:rsid w:val="116369AF"/>
    <w:rsid w:val="11864F4F"/>
    <w:rsid w:val="11A700D3"/>
    <w:rsid w:val="11AA3420"/>
    <w:rsid w:val="11AA4C45"/>
    <w:rsid w:val="11B524F0"/>
    <w:rsid w:val="11B81FE1"/>
    <w:rsid w:val="11BA4C1A"/>
    <w:rsid w:val="11C444E1"/>
    <w:rsid w:val="11C77C3A"/>
    <w:rsid w:val="11CA0B5F"/>
    <w:rsid w:val="11DB182B"/>
    <w:rsid w:val="11DC5CCF"/>
    <w:rsid w:val="11E0751A"/>
    <w:rsid w:val="12063447"/>
    <w:rsid w:val="120C43CB"/>
    <w:rsid w:val="121B4BF4"/>
    <w:rsid w:val="121F3E0E"/>
    <w:rsid w:val="12342867"/>
    <w:rsid w:val="12485112"/>
    <w:rsid w:val="125E02D2"/>
    <w:rsid w:val="12752FAF"/>
    <w:rsid w:val="12916D88"/>
    <w:rsid w:val="12922832"/>
    <w:rsid w:val="1295124C"/>
    <w:rsid w:val="12982F30"/>
    <w:rsid w:val="12AA7B7B"/>
    <w:rsid w:val="12AD6FDF"/>
    <w:rsid w:val="12B72298"/>
    <w:rsid w:val="12BC78AF"/>
    <w:rsid w:val="12D44BF8"/>
    <w:rsid w:val="12D47F8E"/>
    <w:rsid w:val="12D65128"/>
    <w:rsid w:val="12E26080"/>
    <w:rsid w:val="12E5247A"/>
    <w:rsid w:val="12EB3CF0"/>
    <w:rsid w:val="12F048B5"/>
    <w:rsid w:val="12F54B98"/>
    <w:rsid w:val="12FC2D17"/>
    <w:rsid w:val="13023E41"/>
    <w:rsid w:val="131D1A1B"/>
    <w:rsid w:val="132C799A"/>
    <w:rsid w:val="13384A4A"/>
    <w:rsid w:val="133B797C"/>
    <w:rsid w:val="13477178"/>
    <w:rsid w:val="13512740"/>
    <w:rsid w:val="135B6DDB"/>
    <w:rsid w:val="13620BF9"/>
    <w:rsid w:val="13763F01"/>
    <w:rsid w:val="13860AF9"/>
    <w:rsid w:val="13875453"/>
    <w:rsid w:val="139A61D2"/>
    <w:rsid w:val="139E3205"/>
    <w:rsid w:val="13A20852"/>
    <w:rsid w:val="13AB2C68"/>
    <w:rsid w:val="13AE36E7"/>
    <w:rsid w:val="13D715A5"/>
    <w:rsid w:val="13DB3D64"/>
    <w:rsid w:val="13ED3B88"/>
    <w:rsid w:val="13F81F53"/>
    <w:rsid w:val="14006EA6"/>
    <w:rsid w:val="140E2A8A"/>
    <w:rsid w:val="141E76BA"/>
    <w:rsid w:val="14332BE3"/>
    <w:rsid w:val="14414BA5"/>
    <w:rsid w:val="14504752"/>
    <w:rsid w:val="14575036"/>
    <w:rsid w:val="145A6BFB"/>
    <w:rsid w:val="14681327"/>
    <w:rsid w:val="147A08A0"/>
    <w:rsid w:val="1499392C"/>
    <w:rsid w:val="149C6447"/>
    <w:rsid w:val="14AA3E63"/>
    <w:rsid w:val="14BA5FDE"/>
    <w:rsid w:val="14BF5434"/>
    <w:rsid w:val="14C0161F"/>
    <w:rsid w:val="14D464B1"/>
    <w:rsid w:val="14E07535"/>
    <w:rsid w:val="14EB47A4"/>
    <w:rsid w:val="14F84469"/>
    <w:rsid w:val="14FB28A9"/>
    <w:rsid w:val="15010839"/>
    <w:rsid w:val="150E24B2"/>
    <w:rsid w:val="151E63B5"/>
    <w:rsid w:val="152A5EB6"/>
    <w:rsid w:val="15301F59"/>
    <w:rsid w:val="15475B55"/>
    <w:rsid w:val="154D0C92"/>
    <w:rsid w:val="154F39A7"/>
    <w:rsid w:val="1555441B"/>
    <w:rsid w:val="15561574"/>
    <w:rsid w:val="155618F4"/>
    <w:rsid w:val="15565A04"/>
    <w:rsid w:val="155B515D"/>
    <w:rsid w:val="155D7D97"/>
    <w:rsid w:val="15692637"/>
    <w:rsid w:val="158B322B"/>
    <w:rsid w:val="15AA1C40"/>
    <w:rsid w:val="15BD40AF"/>
    <w:rsid w:val="15E769F0"/>
    <w:rsid w:val="15F31839"/>
    <w:rsid w:val="15F3745A"/>
    <w:rsid w:val="15FA6724"/>
    <w:rsid w:val="1609105D"/>
    <w:rsid w:val="16261794"/>
    <w:rsid w:val="162912E3"/>
    <w:rsid w:val="16573C58"/>
    <w:rsid w:val="165B7A80"/>
    <w:rsid w:val="165C73DE"/>
    <w:rsid w:val="16673E9F"/>
    <w:rsid w:val="166E7112"/>
    <w:rsid w:val="16845A6A"/>
    <w:rsid w:val="16907088"/>
    <w:rsid w:val="16A448E1"/>
    <w:rsid w:val="16B630CB"/>
    <w:rsid w:val="16B74615"/>
    <w:rsid w:val="16BA5943"/>
    <w:rsid w:val="16C84A74"/>
    <w:rsid w:val="16CF5E02"/>
    <w:rsid w:val="16D06A17"/>
    <w:rsid w:val="16E00024"/>
    <w:rsid w:val="16E11AC0"/>
    <w:rsid w:val="16EC3324"/>
    <w:rsid w:val="17057E6B"/>
    <w:rsid w:val="170B403B"/>
    <w:rsid w:val="170F61FF"/>
    <w:rsid w:val="171F32E7"/>
    <w:rsid w:val="17237EFC"/>
    <w:rsid w:val="172E6FA3"/>
    <w:rsid w:val="17326502"/>
    <w:rsid w:val="173F31BB"/>
    <w:rsid w:val="17521694"/>
    <w:rsid w:val="17752631"/>
    <w:rsid w:val="17824C23"/>
    <w:rsid w:val="17921886"/>
    <w:rsid w:val="17947E66"/>
    <w:rsid w:val="1798116C"/>
    <w:rsid w:val="179D2269"/>
    <w:rsid w:val="17AE40A0"/>
    <w:rsid w:val="17AF1881"/>
    <w:rsid w:val="17B1375A"/>
    <w:rsid w:val="17B908FC"/>
    <w:rsid w:val="17CE60BA"/>
    <w:rsid w:val="17F17FFA"/>
    <w:rsid w:val="18112A52"/>
    <w:rsid w:val="18160155"/>
    <w:rsid w:val="18222D5D"/>
    <w:rsid w:val="18414ADE"/>
    <w:rsid w:val="18424E0A"/>
    <w:rsid w:val="184F769B"/>
    <w:rsid w:val="188B3FAB"/>
    <w:rsid w:val="18A2565D"/>
    <w:rsid w:val="18C35823"/>
    <w:rsid w:val="18D82DB7"/>
    <w:rsid w:val="18DA6CE0"/>
    <w:rsid w:val="18DE13E4"/>
    <w:rsid w:val="18E5190D"/>
    <w:rsid w:val="18EB0863"/>
    <w:rsid w:val="18EC08E8"/>
    <w:rsid w:val="1902441F"/>
    <w:rsid w:val="190D676E"/>
    <w:rsid w:val="191A5E41"/>
    <w:rsid w:val="19255993"/>
    <w:rsid w:val="192B7810"/>
    <w:rsid w:val="19481E9C"/>
    <w:rsid w:val="194A79C2"/>
    <w:rsid w:val="194B5FE3"/>
    <w:rsid w:val="195C5DF6"/>
    <w:rsid w:val="1966641E"/>
    <w:rsid w:val="196975F0"/>
    <w:rsid w:val="1976332F"/>
    <w:rsid w:val="197832BB"/>
    <w:rsid w:val="198625A9"/>
    <w:rsid w:val="19991A84"/>
    <w:rsid w:val="19C808E7"/>
    <w:rsid w:val="19D84FCE"/>
    <w:rsid w:val="19E03E83"/>
    <w:rsid w:val="19E15682"/>
    <w:rsid w:val="19EB0597"/>
    <w:rsid w:val="19FE41A5"/>
    <w:rsid w:val="19FF59D9"/>
    <w:rsid w:val="1A27476F"/>
    <w:rsid w:val="1A29696B"/>
    <w:rsid w:val="1A395FBE"/>
    <w:rsid w:val="1A420550"/>
    <w:rsid w:val="1A4E703E"/>
    <w:rsid w:val="1A4F6C3A"/>
    <w:rsid w:val="1A5102D0"/>
    <w:rsid w:val="1A580E57"/>
    <w:rsid w:val="1A691D3B"/>
    <w:rsid w:val="1A6E4B25"/>
    <w:rsid w:val="1A75281D"/>
    <w:rsid w:val="1A91517D"/>
    <w:rsid w:val="1A9C249F"/>
    <w:rsid w:val="1A9F1C68"/>
    <w:rsid w:val="1AAC7AD1"/>
    <w:rsid w:val="1ADD6614"/>
    <w:rsid w:val="1AE43D03"/>
    <w:rsid w:val="1AE64EFC"/>
    <w:rsid w:val="1AE73258"/>
    <w:rsid w:val="1AF7167F"/>
    <w:rsid w:val="1B304996"/>
    <w:rsid w:val="1B3A3A66"/>
    <w:rsid w:val="1B604BE3"/>
    <w:rsid w:val="1B6B3C20"/>
    <w:rsid w:val="1B735E51"/>
    <w:rsid w:val="1B8A79FA"/>
    <w:rsid w:val="1B8B42C2"/>
    <w:rsid w:val="1B9C3695"/>
    <w:rsid w:val="1BA15893"/>
    <w:rsid w:val="1BAC6712"/>
    <w:rsid w:val="1BAE7E82"/>
    <w:rsid w:val="1BB32F2B"/>
    <w:rsid w:val="1BB35356"/>
    <w:rsid w:val="1BB61BD8"/>
    <w:rsid w:val="1BC26C2B"/>
    <w:rsid w:val="1BC6330C"/>
    <w:rsid w:val="1BCB2807"/>
    <w:rsid w:val="1BD72F5A"/>
    <w:rsid w:val="1BE06769"/>
    <w:rsid w:val="1BE7599C"/>
    <w:rsid w:val="1BE96BCA"/>
    <w:rsid w:val="1BF061A7"/>
    <w:rsid w:val="1BF21985"/>
    <w:rsid w:val="1BF260EF"/>
    <w:rsid w:val="1BF66460"/>
    <w:rsid w:val="1BF94531"/>
    <w:rsid w:val="1C296277"/>
    <w:rsid w:val="1C2D0AB9"/>
    <w:rsid w:val="1C445043"/>
    <w:rsid w:val="1C4608C5"/>
    <w:rsid w:val="1C5B66BA"/>
    <w:rsid w:val="1C5D0453"/>
    <w:rsid w:val="1C5F78F0"/>
    <w:rsid w:val="1C686368"/>
    <w:rsid w:val="1C7C2C7F"/>
    <w:rsid w:val="1C827BFE"/>
    <w:rsid w:val="1C890801"/>
    <w:rsid w:val="1C984856"/>
    <w:rsid w:val="1CA64ACA"/>
    <w:rsid w:val="1CB670DF"/>
    <w:rsid w:val="1CBB31A7"/>
    <w:rsid w:val="1CC85194"/>
    <w:rsid w:val="1CF404C8"/>
    <w:rsid w:val="1CFC0128"/>
    <w:rsid w:val="1D206525"/>
    <w:rsid w:val="1D293D92"/>
    <w:rsid w:val="1D2B18A6"/>
    <w:rsid w:val="1D37025D"/>
    <w:rsid w:val="1D382954"/>
    <w:rsid w:val="1D62374A"/>
    <w:rsid w:val="1D6261CE"/>
    <w:rsid w:val="1D7768AC"/>
    <w:rsid w:val="1D7E40DE"/>
    <w:rsid w:val="1D9D796C"/>
    <w:rsid w:val="1DA3702D"/>
    <w:rsid w:val="1DA82F09"/>
    <w:rsid w:val="1DB87F26"/>
    <w:rsid w:val="1DC43032"/>
    <w:rsid w:val="1DC75107"/>
    <w:rsid w:val="1DCF0496"/>
    <w:rsid w:val="1DD338F0"/>
    <w:rsid w:val="1DED3182"/>
    <w:rsid w:val="1DFC41C4"/>
    <w:rsid w:val="1DFD1F9B"/>
    <w:rsid w:val="1E03131E"/>
    <w:rsid w:val="1E1E766F"/>
    <w:rsid w:val="1E1F7EEC"/>
    <w:rsid w:val="1E2270F0"/>
    <w:rsid w:val="1E3D0E98"/>
    <w:rsid w:val="1E4522E8"/>
    <w:rsid w:val="1E4E7081"/>
    <w:rsid w:val="1E504393"/>
    <w:rsid w:val="1E5071A5"/>
    <w:rsid w:val="1E5C09EB"/>
    <w:rsid w:val="1E5E6B54"/>
    <w:rsid w:val="1E6854F8"/>
    <w:rsid w:val="1E707ECB"/>
    <w:rsid w:val="1E96080C"/>
    <w:rsid w:val="1E9D2342"/>
    <w:rsid w:val="1EA638ED"/>
    <w:rsid w:val="1EAA758E"/>
    <w:rsid w:val="1EBB4293"/>
    <w:rsid w:val="1EBD0C36"/>
    <w:rsid w:val="1EC2196A"/>
    <w:rsid w:val="1EC65731"/>
    <w:rsid w:val="1ECD32A4"/>
    <w:rsid w:val="1EE7180F"/>
    <w:rsid w:val="1F070103"/>
    <w:rsid w:val="1F1C00A9"/>
    <w:rsid w:val="1F23503F"/>
    <w:rsid w:val="1F294332"/>
    <w:rsid w:val="1F2A5F36"/>
    <w:rsid w:val="1F2F44F0"/>
    <w:rsid w:val="1F3507CD"/>
    <w:rsid w:val="1F4B7FF0"/>
    <w:rsid w:val="1F543D7F"/>
    <w:rsid w:val="1F5E012B"/>
    <w:rsid w:val="1F8E0312"/>
    <w:rsid w:val="1F93030E"/>
    <w:rsid w:val="1F9951FF"/>
    <w:rsid w:val="1F9F1CA0"/>
    <w:rsid w:val="1FD01001"/>
    <w:rsid w:val="1FD96803"/>
    <w:rsid w:val="1FDE70B6"/>
    <w:rsid w:val="1FE741BD"/>
    <w:rsid w:val="1FF5799B"/>
    <w:rsid w:val="200C185A"/>
    <w:rsid w:val="200E7555"/>
    <w:rsid w:val="20127DFC"/>
    <w:rsid w:val="201C3E3A"/>
    <w:rsid w:val="201C7BDE"/>
    <w:rsid w:val="202F3999"/>
    <w:rsid w:val="20370574"/>
    <w:rsid w:val="204D7D98"/>
    <w:rsid w:val="20575805"/>
    <w:rsid w:val="206C6470"/>
    <w:rsid w:val="207B759F"/>
    <w:rsid w:val="20895AA2"/>
    <w:rsid w:val="208D63E6"/>
    <w:rsid w:val="20970344"/>
    <w:rsid w:val="209D5060"/>
    <w:rsid w:val="20A47F19"/>
    <w:rsid w:val="20AE5F17"/>
    <w:rsid w:val="20BE4604"/>
    <w:rsid w:val="20BF1915"/>
    <w:rsid w:val="20D307A1"/>
    <w:rsid w:val="20D379AA"/>
    <w:rsid w:val="20E06E5E"/>
    <w:rsid w:val="20E51A10"/>
    <w:rsid w:val="20EB2E11"/>
    <w:rsid w:val="210C3822"/>
    <w:rsid w:val="21130D7D"/>
    <w:rsid w:val="21130FE1"/>
    <w:rsid w:val="211C7E96"/>
    <w:rsid w:val="211F575C"/>
    <w:rsid w:val="2125401F"/>
    <w:rsid w:val="212C6029"/>
    <w:rsid w:val="212E5E1B"/>
    <w:rsid w:val="21311DFD"/>
    <w:rsid w:val="21541DEF"/>
    <w:rsid w:val="215F4227"/>
    <w:rsid w:val="21645329"/>
    <w:rsid w:val="21741D06"/>
    <w:rsid w:val="219A525F"/>
    <w:rsid w:val="21A0740D"/>
    <w:rsid w:val="21A24B1D"/>
    <w:rsid w:val="21B7404D"/>
    <w:rsid w:val="21C422DC"/>
    <w:rsid w:val="21CE6B4C"/>
    <w:rsid w:val="21D23AB1"/>
    <w:rsid w:val="21D249F9"/>
    <w:rsid w:val="21D26EA7"/>
    <w:rsid w:val="21D95D87"/>
    <w:rsid w:val="21DE626B"/>
    <w:rsid w:val="21E06B2C"/>
    <w:rsid w:val="21E36C06"/>
    <w:rsid w:val="21E43094"/>
    <w:rsid w:val="222A326B"/>
    <w:rsid w:val="222C1D58"/>
    <w:rsid w:val="22401962"/>
    <w:rsid w:val="224D70E7"/>
    <w:rsid w:val="225821CD"/>
    <w:rsid w:val="226A0BEC"/>
    <w:rsid w:val="22717857"/>
    <w:rsid w:val="228F2A6B"/>
    <w:rsid w:val="229D6DA2"/>
    <w:rsid w:val="22A146F2"/>
    <w:rsid w:val="22C30D9A"/>
    <w:rsid w:val="22DB6593"/>
    <w:rsid w:val="22DE0DCC"/>
    <w:rsid w:val="22E2680E"/>
    <w:rsid w:val="22E744D4"/>
    <w:rsid w:val="230079B7"/>
    <w:rsid w:val="231132FF"/>
    <w:rsid w:val="23137077"/>
    <w:rsid w:val="2330604E"/>
    <w:rsid w:val="233257D3"/>
    <w:rsid w:val="234052AD"/>
    <w:rsid w:val="234E00AF"/>
    <w:rsid w:val="236A4649"/>
    <w:rsid w:val="236C49D9"/>
    <w:rsid w:val="236F4FBD"/>
    <w:rsid w:val="23792F65"/>
    <w:rsid w:val="237E2C27"/>
    <w:rsid w:val="23804366"/>
    <w:rsid w:val="239C1A88"/>
    <w:rsid w:val="23AB5501"/>
    <w:rsid w:val="23C70AF5"/>
    <w:rsid w:val="23F81101"/>
    <w:rsid w:val="24053A6E"/>
    <w:rsid w:val="24083192"/>
    <w:rsid w:val="240B2444"/>
    <w:rsid w:val="24155071"/>
    <w:rsid w:val="241A61E3"/>
    <w:rsid w:val="241F66D6"/>
    <w:rsid w:val="243A5D93"/>
    <w:rsid w:val="243E6375"/>
    <w:rsid w:val="245F7D01"/>
    <w:rsid w:val="246102B6"/>
    <w:rsid w:val="247179A7"/>
    <w:rsid w:val="2483022C"/>
    <w:rsid w:val="249935AC"/>
    <w:rsid w:val="24AF76B3"/>
    <w:rsid w:val="24B108F5"/>
    <w:rsid w:val="24B31C9A"/>
    <w:rsid w:val="24B45395"/>
    <w:rsid w:val="24E46A77"/>
    <w:rsid w:val="250255F5"/>
    <w:rsid w:val="25075333"/>
    <w:rsid w:val="250A2D61"/>
    <w:rsid w:val="251C53CB"/>
    <w:rsid w:val="252227D8"/>
    <w:rsid w:val="25257535"/>
    <w:rsid w:val="2544142D"/>
    <w:rsid w:val="255C655B"/>
    <w:rsid w:val="2561056D"/>
    <w:rsid w:val="25651401"/>
    <w:rsid w:val="257E64F7"/>
    <w:rsid w:val="25807435"/>
    <w:rsid w:val="259B44F8"/>
    <w:rsid w:val="25A8302D"/>
    <w:rsid w:val="25AB2CCB"/>
    <w:rsid w:val="25C1100C"/>
    <w:rsid w:val="25C841C8"/>
    <w:rsid w:val="25D30D3F"/>
    <w:rsid w:val="25DA6130"/>
    <w:rsid w:val="25EB0FC4"/>
    <w:rsid w:val="25FA62CC"/>
    <w:rsid w:val="26123616"/>
    <w:rsid w:val="26163F80"/>
    <w:rsid w:val="261C26E6"/>
    <w:rsid w:val="262212E9"/>
    <w:rsid w:val="26241FF4"/>
    <w:rsid w:val="26325A66"/>
    <w:rsid w:val="26342D4C"/>
    <w:rsid w:val="265C6FB2"/>
    <w:rsid w:val="267C0A39"/>
    <w:rsid w:val="26B26BA7"/>
    <w:rsid w:val="26B45E5C"/>
    <w:rsid w:val="26B66697"/>
    <w:rsid w:val="26C64400"/>
    <w:rsid w:val="26D1527F"/>
    <w:rsid w:val="26D60FBC"/>
    <w:rsid w:val="26DB60FD"/>
    <w:rsid w:val="26E054C2"/>
    <w:rsid w:val="26E31456"/>
    <w:rsid w:val="270F48B4"/>
    <w:rsid w:val="27182EAE"/>
    <w:rsid w:val="271B4EC1"/>
    <w:rsid w:val="27230743"/>
    <w:rsid w:val="2726516C"/>
    <w:rsid w:val="2729330D"/>
    <w:rsid w:val="2733415B"/>
    <w:rsid w:val="27351CB2"/>
    <w:rsid w:val="273812F8"/>
    <w:rsid w:val="273D2914"/>
    <w:rsid w:val="274962F7"/>
    <w:rsid w:val="274A1860"/>
    <w:rsid w:val="27547C5E"/>
    <w:rsid w:val="27741B53"/>
    <w:rsid w:val="277450D6"/>
    <w:rsid w:val="277734B7"/>
    <w:rsid w:val="27805529"/>
    <w:rsid w:val="27817719"/>
    <w:rsid w:val="2783435E"/>
    <w:rsid w:val="27870033"/>
    <w:rsid w:val="279A7D67"/>
    <w:rsid w:val="27A504B9"/>
    <w:rsid w:val="2807090F"/>
    <w:rsid w:val="280746CD"/>
    <w:rsid w:val="28105227"/>
    <w:rsid w:val="285479CD"/>
    <w:rsid w:val="285857A7"/>
    <w:rsid w:val="28650375"/>
    <w:rsid w:val="28723AB4"/>
    <w:rsid w:val="28907385"/>
    <w:rsid w:val="2894416C"/>
    <w:rsid w:val="28945A4B"/>
    <w:rsid w:val="289573E9"/>
    <w:rsid w:val="28A77D79"/>
    <w:rsid w:val="28A82CA7"/>
    <w:rsid w:val="28DD1DED"/>
    <w:rsid w:val="28F12740"/>
    <w:rsid w:val="28FB201F"/>
    <w:rsid w:val="29177195"/>
    <w:rsid w:val="291E1EF7"/>
    <w:rsid w:val="29233D8C"/>
    <w:rsid w:val="29276C0F"/>
    <w:rsid w:val="292F0982"/>
    <w:rsid w:val="2940049A"/>
    <w:rsid w:val="29561485"/>
    <w:rsid w:val="296D0128"/>
    <w:rsid w:val="296D5007"/>
    <w:rsid w:val="296E4F42"/>
    <w:rsid w:val="29746395"/>
    <w:rsid w:val="297A3EDD"/>
    <w:rsid w:val="29AA70BF"/>
    <w:rsid w:val="29C462AA"/>
    <w:rsid w:val="29C64ABB"/>
    <w:rsid w:val="29D10C3C"/>
    <w:rsid w:val="2A0531CF"/>
    <w:rsid w:val="2A0B4F4C"/>
    <w:rsid w:val="2A111E36"/>
    <w:rsid w:val="2A14038D"/>
    <w:rsid w:val="2A197E92"/>
    <w:rsid w:val="2A24600D"/>
    <w:rsid w:val="2A36189D"/>
    <w:rsid w:val="2A3B16C9"/>
    <w:rsid w:val="2A3C627B"/>
    <w:rsid w:val="2A4117B7"/>
    <w:rsid w:val="2A4549F9"/>
    <w:rsid w:val="2A463335"/>
    <w:rsid w:val="2A4E39FF"/>
    <w:rsid w:val="2A4E54E8"/>
    <w:rsid w:val="2A4F3BBF"/>
    <w:rsid w:val="2A592168"/>
    <w:rsid w:val="2A5D1E46"/>
    <w:rsid w:val="2A634893"/>
    <w:rsid w:val="2A701253"/>
    <w:rsid w:val="2A791292"/>
    <w:rsid w:val="2A7C7BF7"/>
    <w:rsid w:val="2A8820F8"/>
    <w:rsid w:val="2A9F38E6"/>
    <w:rsid w:val="2AA763D5"/>
    <w:rsid w:val="2AB32EED"/>
    <w:rsid w:val="2ABA1548"/>
    <w:rsid w:val="2AC770AF"/>
    <w:rsid w:val="2AD6553A"/>
    <w:rsid w:val="2ADE3668"/>
    <w:rsid w:val="2AFE060C"/>
    <w:rsid w:val="2B033456"/>
    <w:rsid w:val="2B035C23"/>
    <w:rsid w:val="2B0A0D5F"/>
    <w:rsid w:val="2B0D6F83"/>
    <w:rsid w:val="2B147BF3"/>
    <w:rsid w:val="2B1778FA"/>
    <w:rsid w:val="2B2100D0"/>
    <w:rsid w:val="2B4B71CC"/>
    <w:rsid w:val="2B517B37"/>
    <w:rsid w:val="2B5D79E0"/>
    <w:rsid w:val="2B747640"/>
    <w:rsid w:val="2B7D26DA"/>
    <w:rsid w:val="2B9F4EB9"/>
    <w:rsid w:val="2BA2543C"/>
    <w:rsid w:val="2BA50A88"/>
    <w:rsid w:val="2BA70B16"/>
    <w:rsid w:val="2BB720E5"/>
    <w:rsid w:val="2BB771B1"/>
    <w:rsid w:val="2BB807BB"/>
    <w:rsid w:val="2BBA1425"/>
    <w:rsid w:val="2BBD6BAC"/>
    <w:rsid w:val="2BD64E19"/>
    <w:rsid w:val="2BD73ADB"/>
    <w:rsid w:val="2BD75238"/>
    <w:rsid w:val="2BDE7D13"/>
    <w:rsid w:val="2BF77448"/>
    <w:rsid w:val="2BF77631"/>
    <w:rsid w:val="2BFE5184"/>
    <w:rsid w:val="2C005DCA"/>
    <w:rsid w:val="2C0D0A34"/>
    <w:rsid w:val="2C11436F"/>
    <w:rsid w:val="2C124318"/>
    <w:rsid w:val="2C3A5255"/>
    <w:rsid w:val="2C4464F3"/>
    <w:rsid w:val="2C54208A"/>
    <w:rsid w:val="2C604FDA"/>
    <w:rsid w:val="2C7B2A34"/>
    <w:rsid w:val="2C7C5C8D"/>
    <w:rsid w:val="2C7E2C1C"/>
    <w:rsid w:val="2C8114F5"/>
    <w:rsid w:val="2C8E15B2"/>
    <w:rsid w:val="2C8F2065"/>
    <w:rsid w:val="2CAA6CDE"/>
    <w:rsid w:val="2CAB6572"/>
    <w:rsid w:val="2CB3174D"/>
    <w:rsid w:val="2CBF577C"/>
    <w:rsid w:val="2CC30D5B"/>
    <w:rsid w:val="2CD755B9"/>
    <w:rsid w:val="2CDF6F92"/>
    <w:rsid w:val="2CEA709A"/>
    <w:rsid w:val="2CFF4D16"/>
    <w:rsid w:val="2D003462"/>
    <w:rsid w:val="2D02439B"/>
    <w:rsid w:val="2D044742"/>
    <w:rsid w:val="2D0A522F"/>
    <w:rsid w:val="2D0D533B"/>
    <w:rsid w:val="2D1C7470"/>
    <w:rsid w:val="2D2E46EF"/>
    <w:rsid w:val="2D2F01DE"/>
    <w:rsid w:val="2D437845"/>
    <w:rsid w:val="2D462BD9"/>
    <w:rsid w:val="2D5A0767"/>
    <w:rsid w:val="2D6F134E"/>
    <w:rsid w:val="2D7E0BA8"/>
    <w:rsid w:val="2D897679"/>
    <w:rsid w:val="2D8A22F6"/>
    <w:rsid w:val="2D93298B"/>
    <w:rsid w:val="2D9708A4"/>
    <w:rsid w:val="2DB317B9"/>
    <w:rsid w:val="2DB31B82"/>
    <w:rsid w:val="2DC77FA9"/>
    <w:rsid w:val="2DD11B59"/>
    <w:rsid w:val="2DD72F40"/>
    <w:rsid w:val="2DE1756A"/>
    <w:rsid w:val="2DE441C9"/>
    <w:rsid w:val="2DEB60DF"/>
    <w:rsid w:val="2DEF248E"/>
    <w:rsid w:val="2E100D83"/>
    <w:rsid w:val="2E293BF2"/>
    <w:rsid w:val="2E516CA5"/>
    <w:rsid w:val="2E5549E7"/>
    <w:rsid w:val="2E683000"/>
    <w:rsid w:val="2E683DD6"/>
    <w:rsid w:val="2E726884"/>
    <w:rsid w:val="2E750704"/>
    <w:rsid w:val="2E9168D0"/>
    <w:rsid w:val="2E9934E3"/>
    <w:rsid w:val="2E9D638E"/>
    <w:rsid w:val="2EC45FD9"/>
    <w:rsid w:val="2ECD0A22"/>
    <w:rsid w:val="2EE10029"/>
    <w:rsid w:val="2EEC1C48"/>
    <w:rsid w:val="2EF15E0D"/>
    <w:rsid w:val="2EF762D4"/>
    <w:rsid w:val="2EF84F00"/>
    <w:rsid w:val="2F0B779C"/>
    <w:rsid w:val="2F234777"/>
    <w:rsid w:val="2F237FA6"/>
    <w:rsid w:val="2F2D5DE2"/>
    <w:rsid w:val="2F324D29"/>
    <w:rsid w:val="2F441A54"/>
    <w:rsid w:val="2F6168C6"/>
    <w:rsid w:val="2F626D54"/>
    <w:rsid w:val="2F6A2714"/>
    <w:rsid w:val="2F7013AD"/>
    <w:rsid w:val="2F912229"/>
    <w:rsid w:val="2F9303FB"/>
    <w:rsid w:val="2F93612B"/>
    <w:rsid w:val="2F947791"/>
    <w:rsid w:val="2F9904EA"/>
    <w:rsid w:val="2FB43990"/>
    <w:rsid w:val="2FC5115F"/>
    <w:rsid w:val="2FC8743B"/>
    <w:rsid w:val="2FCF2080"/>
    <w:rsid w:val="2FD1009E"/>
    <w:rsid w:val="2FDB138B"/>
    <w:rsid w:val="300C557A"/>
    <w:rsid w:val="30147CC8"/>
    <w:rsid w:val="303D5733"/>
    <w:rsid w:val="304E16EE"/>
    <w:rsid w:val="305C7245"/>
    <w:rsid w:val="30A40FEC"/>
    <w:rsid w:val="30A9361D"/>
    <w:rsid w:val="30B654E5"/>
    <w:rsid w:val="30C26694"/>
    <w:rsid w:val="30D057F2"/>
    <w:rsid w:val="30DC77C4"/>
    <w:rsid w:val="30E21733"/>
    <w:rsid w:val="30F77FD8"/>
    <w:rsid w:val="31134D4C"/>
    <w:rsid w:val="311741D6"/>
    <w:rsid w:val="312608BD"/>
    <w:rsid w:val="31501496"/>
    <w:rsid w:val="317550ED"/>
    <w:rsid w:val="31A43590"/>
    <w:rsid w:val="31C134EE"/>
    <w:rsid w:val="31C85368"/>
    <w:rsid w:val="31D45EB7"/>
    <w:rsid w:val="31DF1A56"/>
    <w:rsid w:val="31E57E30"/>
    <w:rsid w:val="32045C51"/>
    <w:rsid w:val="32063D7A"/>
    <w:rsid w:val="322830C2"/>
    <w:rsid w:val="32386105"/>
    <w:rsid w:val="323D5B25"/>
    <w:rsid w:val="326128BE"/>
    <w:rsid w:val="32774045"/>
    <w:rsid w:val="32A04590"/>
    <w:rsid w:val="32E23024"/>
    <w:rsid w:val="32E3455F"/>
    <w:rsid w:val="32EA67F1"/>
    <w:rsid w:val="32F26CA9"/>
    <w:rsid w:val="32FF3174"/>
    <w:rsid w:val="330A0480"/>
    <w:rsid w:val="330C5891"/>
    <w:rsid w:val="333548B5"/>
    <w:rsid w:val="33433E12"/>
    <w:rsid w:val="33531A91"/>
    <w:rsid w:val="33627935"/>
    <w:rsid w:val="33660511"/>
    <w:rsid w:val="336D27D3"/>
    <w:rsid w:val="3370146E"/>
    <w:rsid w:val="33870D36"/>
    <w:rsid w:val="339C09C3"/>
    <w:rsid w:val="33AE3B69"/>
    <w:rsid w:val="33CA19D4"/>
    <w:rsid w:val="33CC574C"/>
    <w:rsid w:val="33DE0FDB"/>
    <w:rsid w:val="33EA060C"/>
    <w:rsid w:val="33EE496B"/>
    <w:rsid w:val="33FB0C13"/>
    <w:rsid w:val="34045D2D"/>
    <w:rsid w:val="340E2829"/>
    <w:rsid w:val="340F388A"/>
    <w:rsid w:val="341449FD"/>
    <w:rsid w:val="342B60E5"/>
    <w:rsid w:val="34323A47"/>
    <w:rsid w:val="34360E17"/>
    <w:rsid w:val="344057F2"/>
    <w:rsid w:val="34462C29"/>
    <w:rsid w:val="34480B4A"/>
    <w:rsid w:val="345B62F7"/>
    <w:rsid w:val="34611F6C"/>
    <w:rsid w:val="34692F9B"/>
    <w:rsid w:val="346F51BC"/>
    <w:rsid w:val="347C23F8"/>
    <w:rsid w:val="34844F48"/>
    <w:rsid w:val="34864FE8"/>
    <w:rsid w:val="3488219A"/>
    <w:rsid w:val="34EF6D63"/>
    <w:rsid w:val="34F92AFA"/>
    <w:rsid w:val="351C625F"/>
    <w:rsid w:val="35227F7D"/>
    <w:rsid w:val="352944D8"/>
    <w:rsid w:val="35466E38"/>
    <w:rsid w:val="35475172"/>
    <w:rsid w:val="355D4AD0"/>
    <w:rsid w:val="35642417"/>
    <w:rsid w:val="356E3DC6"/>
    <w:rsid w:val="35A74869"/>
    <w:rsid w:val="35AA386B"/>
    <w:rsid w:val="35B446E9"/>
    <w:rsid w:val="35BC359E"/>
    <w:rsid w:val="35CC1814"/>
    <w:rsid w:val="35CD52FF"/>
    <w:rsid w:val="35E94E50"/>
    <w:rsid w:val="36010573"/>
    <w:rsid w:val="361C403D"/>
    <w:rsid w:val="36205FC2"/>
    <w:rsid w:val="36226CDD"/>
    <w:rsid w:val="36532606"/>
    <w:rsid w:val="36662444"/>
    <w:rsid w:val="36681030"/>
    <w:rsid w:val="366A0364"/>
    <w:rsid w:val="36735F09"/>
    <w:rsid w:val="368C11C2"/>
    <w:rsid w:val="36954DF9"/>
    <w:rsid w:val="36A26B39"/>
    <w:rsid w:val="36AF6C5F"/>
    <w:rsid w:val="36B87A4C"/>
    <w:rsid w:val="36BB76D3"/>
    <w:rsid w:val="36BF604D"/>
    <w:rsid w:val="36C81141"/>
    <w:rsid w:val="36DB2BB9"/>
    <w:rsid w:val="36E278CF"/>
    <w:rsid w:val="36F37C4B"/>
    <w:rsid w:val="36F54FB9"/>
    <w:rsid w:val="36FA25D0"/>
    <w:rsid w:val="37183F1E"/>
    <w:rsid w:val="37321D6A"/>
    <w:rsid w:val="373C0FA3"/>
    <w:rsid w:val="37534278"/>
    <w:rsid w:val="37682A67"/>
    <w:rsid w:val="376A2227"/>
    <w:rsid w:val="377A7DA0"/>
    <w:rsid w:val="377F565F"/>
    <w:rsid w:val="378B2CF8"/>
    <w:rsid w:val="378B5517"/>
    <w:rsid w:val="37967425"/>
    <w:rsid w:val="379E0C96"/>
    <w:rsid w:val="379F4342"/>
    <w:rsid w:val="37A829AA"/>
    <w:rsid w:val="37A91A34"/>
    <w:rsid w:val="37B87D95"/>
    <w:rsid w:val="37BB18F9"/>
    <w:rsid w:val="37C62EFE"/>
    <w:rsid w:val="37D01571"/>
    <w:rsid w:val="380E0689"/>
    <w:rsid w:val="381C6576"/>
    <w:rsid w:val="382947EF"/>
    <w:rsid w:val="382C3FF1"/>
    <w:rsid w:val="383374EF"/>
    <w:rsid w:val="38444BF6"/>
    <w:rsid w:val="384A7667"/>
    <w:rsid w:val="384F06F9"/>
    <w:rsid w:val="385258AE"/>
    <w:rsid w:val="385432D9"/>
    <w:rsid w:val="38594E76"/>
    <w:rsid w:val="386929FD"/>
    <w:rsid w:val="38692D98"/>
    <w:rsid w:val="388008B3"/>
    <w:rsid w:val="38832151"/>
    <w:rsid w:val="38A06CA6"/>
    <w:rsid w:val="38E52E0C"/>
    <w:rsid w:val="38E726E0"/>
    <w:rsid w:val="38FC02D6"/>
    <w:rsid w:val="38FC7CC2"/>
    <w:rsid w:val="3905037B"/>
    <w:rsid w:val="39254237"/>
    <w:rsid w:val="3926721C"/>
    <w:rsid w:val="393671C3"/>
    <w:rsid w:val="394C710F"/>
    <w:rsid w:val="394F3C4A"/>
    <w:rsid w:val="39561EE2"/>
    <w:rsid w:val="39591256"/>
    <w:rsid w:val="395C13D2"/>
    <w:rsid w:val="39672918"/>
    <w:rsid w:val="398A7A7C"/>
    <w:rsid w:val="39A264A1"/>
    <w:rsid w:val="39B2476F"/>
    <w:rsid w:val="39C12F31"/>
    <w:rsid w:val="39CD7B28"/>
    <w:rsid w:val="39CF1CEE"/>
    <w:rsid w:val="39D31333"/>
    <w:rsid w:val="39D54ED8"/>
    <w:rsid w:val="39F76E18"/>
    <w:rsid w:val="39F82659"/>
    <w:rsid w:val="39FA22AE"/>
    <w:rsid w:val="3A0177D1"/>
    <w:rsid w:val="3A1A6108"/>
    <w:rsid w:val="3A1C3049"/>
    <w:rsid w:val="3A1F5ED9"/>
    <w:rsid w:val="3A2A31CC"/>
    <w:rsid w:val="3A2D55A1"/>
    <w:rsid w:val="3A2F6786"/>
    <w:rsid w:val="3A304821"/>
    <w:rsid w:val="3A325BDD"/>
    <w:rsid w:val="3A395D55"/>
    <w:rsid w:val="3A3C2EFF"/>
    <w:rsid w:val="3A414072"/>
    <w:rsid w:val="3A5B0034"/>
    <w:rsid w:val="3A5B6136"/>
    <w:rsid w:val="3A5F685E"/>
    <w:rsid w:val="3A671F4B"/>
    <w:rsid w:val="3A6A45E8"/>
    <w:rsid w:val="3A8B71BF"/>
    <w:rsid w:val="3A900E36"/>
    <w:rsid w:val="3A9461B8"/>
    <w:rsid w:val="3AAC17D9"/>
    <w:rsid w:val="3AB3103A"/>
    <w:rsid w:val="3AC147A5"/>
    <w:rsid w:val="3ACB34B3"/>
    <w:rsid w:val="3AD74DC5"/>
    <w:rsid w:val="3AE631F5"/>
    <w:rsid w:val="3AEC0481"/>
    <w:rsid w:val="3AF35977"/>
    <w:rsid w:val="3AFA4962"/>
    <w:rsid w:val="3B0113FB"/>
    <w:rsid w:val="3B016FA4"/>
    <w:rsid w:val="3B0939FB"/>
    <w:rsid w:val="3B111C96"/>
    <w:rsid w:val="3B176304"/>
    <w:rsid w:val="3B201ED9"/>
    <w:rsid w:val="3B453A80"/>
    <w:rsid w:val="3B4756B8"/>
    <w:rsid w:val="3B505FAD"/>
    <w:rsid w:val="3B6C38C7"/>
    <w:rsid w:val="3B6D5B91"/>
    <w:rsid w:val="3B745B59"/>
    <w:rsid w:val="3B75322D"/>
    <w:rsid w:val="3B7B35B3"/>
    <w:rsid w:val="3B7C5E89"/>
    <w:rsid w:val="3B8B68EB"/>
    <w:rsid w:val="3B8B7ED7"/>
    <w:rsid w:val="3B9C02DF"/>
    <w:rsid w:val="3BA26D92"/>
    <w:rsid w:val="3BAF0091"/>
    <w:rsid w:val="3BB43A35"/>
    <w:rsid w:val="3BCC3E0F"/>
    <w:rsid w:val="3BCE547E"/>
    <w:rsid w:val="3BE17B92"/>
    <w:rsid w:val="3BE41159"/>
    <w:rsid w:val="3BEB698B"/>
    <w:rsid w:val="3BEC625F"/>
    <w:rsid w:val="3BEE404E"/>
    <w:rsid w:val="3C017F5D"/>
    <w:rsid w:val="3C1722A9"/>
    <w:rsid w:val="3C5E53AF"/>
    <w:rsid w:val="3C6B3628"/>
    <w:rsid w:val="3C714642"/>
    <w:rsid w:val="3C776471"/>
    <w:rsid w:val="3C942B7F"/>
    <w:rsid w:val="3C9444C5"/>
    <w:rsid w:val="3CB74ABF"/>
    <w:rsid w:val="3CC4435B"/>
    <w:rsid w:val="3CF17FD1"/>
    <w:rsid w:val="3CF950D8"/>
    <w:rsid w:val="3CFD15BF"/>
    <w:rsid w:val="3D015D3A"/>
    <w:rsid w:val="3D0D29EC"/>
    <w:rsid w:val="3D0D46DF"/>
    <w:rsid w:val="3D164790"/>
    <w:rsid w:val="3D1E4B3E"/>
    <w:rsid w:val="3D202664"/>
    <w:rsid w:val="3D2755F1"/>
    <w:rsid w:val="3D2A22D5"/>
    <w:rsid w:val="3D2F4655"/>
    <w:rsid w:val="3D314067"/>
    <w:rsid w:val="3D356511"/>
    <w:rsid w:val="3D365927"/>
    <w:rsid w:val="3D380F1D"/>
    <w:rsid w:val="3D472E44"/>
    <w:rsid w:val="3D4B3015"/>
    <w:rsid w:val="3D570CE3"/>
    <w:rsid w:val="3D5F71B9"/>
    <w:rsid w:val="3D640998"/>
    <w:rsid w:val="3D826610"/>
    <w:rsid w:val="3D9B2B19"/>
    <w:rsid w:val="3D9C397A"/>
    <w:rsid w:val="3DAF347D"/>
    <w:rsid w:val="3DB403CC"/>
    <w:rsid w:val="3DB76351"/>
    <w:rsid w:val="3DBB648E"/>
    <w:rsid w:val="3DC6374A"/>
    <w:rsid w:val="3DDC47DD"/>
    <w:rsid w:val="3DE45300"/>
    <w:rsid w:val="3DFC3767"/>
    <w:rsid w:val="3E0633EE"/>
    <w:rsid w:val="3E0D2BA2"/>
    <w:rsid w:val="3E0F6783"/>
    <w:rsid w:val="3E3125FF"/>
    <w:rsid w:val="3E32588A"/>
    <w:rsid w:val="3E3A797F"/>
    <w:rsid w:val="3E4405D4"/>
    <w:rsid w:val="3E451B6A"/>
    <w:rsid w:val="3E541B40"/>
    <w:rsid w:val="3E5B7667"/>
    <w:rsid w:val="3E6F0B91"/>
    <w:rsid w:val="3E864EB2"/>
    <w:rsid w:val="3E8735A7"/>
    <w:rsid w:val="3E9C5D1B"/>
    <w:rsid w:val="3EAB1A1E"/>
    <w:rsid w:val="3EBF31E2"/>
    <w:rsid w:val="3EC80A93"/>
    <w:rsid w:val="3ECC294C"/>
    <w:rsid w:val="3ECE3980"/>
    <w:rsid w:val="3EEB532A"/>
    <w:rsid w:val="3EFA3DD4"/>
    <w:rsid w:val="3F0F2990"/>
    <w:rsid w:val="3F116709"/>
    <w:rsid w:val="3F245CDE"/>
    <w:rsid w:val="3F287CAC"/>
    <w:rsid w:val="3F2C17D3"/>
    <w:rsid w:val="3F38176A"/>
    <w:rsid w:val="3F485313"/>
    <w:rsid w:val="3F4B1CA0"/>
    <w:rsid w:val="3F4D5267"/>
    <w:rsid w:val="3F585A92"/>
    <w:rsid w:val="3F6F42E2"/>
    <w:rsid w:val="3F6F612B"/>
    <w:rsid w:val="3F746C97"/>
    <w:rsid w:val="3F7A7910"/>
    <w:rsid w:val="3F85710B"/>
    <w:rsid w:val="3F871528"/>
    <w:rsid w:val="3F901DCA"/>
    <w:rsid w:val="3F9A0498"/>
    <w:rsid w:val="3FA532F5"/>
    <w:rsid w:val="3FB11C9A"/>
    <w:rsid w:val="3FBA368F"/>
    <w:rsid w:val="3FC72A05"/>
    <w:rsid w:val="3FCF35F0"/>
    <w:rsid w:val="3FD31ACD"/>
    <w:rsid w:val="3FF96E7B"/>
    <w:rsid w:val="3FFF13A1"/>
    <w:rsid w:val="40153FD6"/>
    <w:rsid w:val="4024246B"/>
    <w:rsid w:val="40300E10"/>
    <w:rsid w:val="40394E68"/>
    <w:rsid w:val="40407A9F"/>
    <w:rsid w:val="4041301D"/>
    <w:rsid w:val="40426772"/>
    <w:rsid w:val="406C497A"/>
    <w:rsid w:val="40972C3D"/>
    <w:rsid w:val="40A9275A"/>
    <w:rsid w:val="40A92971"/>
    <w:rsid w:val="40B32646"/>
    <w:rsid w:val="40B57579"/>
    <w:rsid w:val="40CF3ECA"/>
    <w:rsid w:val="40CF64E2"/>
    <w:rsid w:val="40D44BE7"/>
    <w:rsid w:val="40F7192E"/>
    <w:rsid w:val="410A158D"/>
    <w:rsid w:val="411975DD"/>
    <w:rsid w:val="411C75E7"/>
    <w:rsid w:val="412B29A8"/>
    <w:rsid w:val="412F731A"/>
    <w:rsid w:val="4130721E"/>
    <w:rsid w:val="413276FB"/>
    <w:rsid w:val="413F324C"/>
    <w:rsid w:val="41422BEE"/>
    <w:rsid w:val="414508EB"/>
    <w:rsid w:val="41523D1C"/>
    <w:rsid w:val="41585A86"/>
    <w:rsid w:val="415919E2"/>
    <w:rsid w:val="416E0685"/>
    <w:rsid w:val="41A31447"/>
    <w:rsid w:val="41B03A6A"/>
    <w:rsid w:val="41B47717"/>
    <w:rsid w:val="41BE072C"/>
    <w:rsid w:val="41D176AE"/>
    <w:rsid w:val="41F07F48"/>
    <w:rsid w:val="41F81711"/>
    <w:rsid w:val="42023998"/>
    <w:rsid w:val="420267DC"/>
    <w:rsid w:val="42116A20"/>
    <w:rsid w:val="42230D20"/>
    <w:rsid w:val="42232DCC"/>
    <w:rsid w:val="42334885"/>
    <w:rsid w:val="42574E91"/>
    <w:rsid w:val="42674891"/>
    <w:rsid w:val="42732927"/>
    <w:rsid w:val="42733236"/>
    <w:rsid w:val="427B0595"/>
    <w:rsid w:val="4286740D"/>
    <w:rsid w:val="429513FF"/>
    <w:rsid w:val="429A07C3"/>
    <w:rsid w:val="42A25018"/>
    <w:rsid w:val="42A86388"/>
    <w:rsid w:val="42C41CE4"/>
    <w:rsid w:val="42C57F36"/>
    <w:rsid w:val="42CC1D66"/>
    <w:rsid w:val="42D068DB"/>
    <w:rsid w:val="42E16A8D"/>
    <w:rsid w:val="42E20477"/>
    <w:rsid w:val="42ED4D97"/>
    <w:rsid w:val="42F97BDF"/>
    <w:rsid w:val="42FA30E7"/>
    <w:rsid w:val="43174030"/>
    <w:rsid w:val="433A28B2"/>
    <w:rsid w:val="433E2ADB"/>
    <w:rsid w:val="4348021F"/>
    <w:rsid w:val="43495316"/>
    <w:rsid w:val="43510169"/>
    <w:rsid w:val="43562F18"/>
    <w:rsid w:val="43630837"/>
    <w:rsid w:val="43A044FF"/>
    <w:rsid w:val="43A85162"/>
    <w:rsid w:val="43B34232"/>
    <w:rsid w:val="43BE75BA"/>
    <w:rsid w:val="43C8533B"/>
    <w:rsid w:val="43CD6976"/>
    <w:rsid w:val="43D41271"/>
    <w:rsid w:val="43E9377D"/>
    <w:rsid w:val="43EA577A"/>
    <w:rsid w:val="43FD6DCC"/>
    <w:rsid w:val="44005A27"/>
    <w:rsid w:val="440920A4"/>
    <w:rsid w:val="440A7727"/>
    <w:rsid w:val="44126D70"/>
    <w:rsid w:val="441B5933"/>
    <w:rsid w:val="44213794"/>
    <w:rsid w:val="44246EDE"/>
    <w:rsid w:val="442962A2"/>
    <w:rsid w:val="442B3AB6"/>
    <w:rsid w:val="443C7297"/>
    <w:rsid w:val="443D129B"/>
    <w:rsid w:val="44417C61"/>
    <w:rsid w:val="44474521"/>
    <w:rsid w:val="444D54F0"/>
    <w:rsid w:val="4456696C"/>
    <w:rsid w:val="445C061D"/>
    <w:rsid w:val="44713000"/>
    <w:rsid w:val="44763C20"/>
    <w:rsid w:val="447910DE"/>
    <w:rsid w:val="447A398E"/>
    <w:rsid w:val="447C2876"/>
    <w:rsid w:val="44841839"/>
    <w:rsid w:val="448F778A"/>
    <w:rsid w:val="449511F9"/>
    <w:rsid w:val="44BF2763"/>
    <w:rsid w:val="44C323AD"/>
    <w:rsid w:val="44CE063D"/>
    <w:rsid w:val="44D22496"/>
    <w:rsid w:val="44E64491"/>
    <w:rsid w:val="44EA49C0"/>
    <w:rsid w:val="44EB6C77"/>
    <w:rsid w:val="4506147B"/>
    <w:rsid w:val="450E650B"/>
    <w:rsid w:val="45156108"/>
    <w:rsid w:val="45172894"/>
    <w:rsid w:val="45173B67"/>
    <w:rsid w:val="45214F15"/>
    <w:rsid w:val="45260A34"/>
    <w:rsid w:val="45303661"/>
    <w:rsid w:val="453273D9"/>
    <w:rsid w:val="45386828"/>
    <w:rsid w:val="45442C68"/>
    <w:rsid w:val="454E2D72"/>
    <w:rsid w:val="454F62E1"/>
    <w:rsid w:val="4567543E"/>
    <w:rsid w:val="458A0186"/>
    <w:rsid w:val="458D5981"/>
    <w:rsid w:val="4599546F"/>
    <w:rsid w:val="459B6410"/>
    <w:rsid w:val="45AF0908"/>
    <w:rsid w:val="45B231FF"/>
    <w:rsid w:val="45B95404"/>
    <w:rsid w:val="45C142B9"/>
    <w:rsid w:val="45C94C84"/>
    <w:rsid w:val="45DF34B3"/>
    <w:rsid w:val="45EE1552"/>
    <w:rsid w:val="45FE6DC5"/>
    <w:rsid w:val="46062C57"/>
    <w:rsid w:val="46085F3F"/>
    <w:rsid w:val="461A5331"/>
    <w:rsid w:val="462705C0"/>
    <w:rsid w:val="46324B16"/>
    <w:rsid w:val="463A4797"/>
    <w:rsid w:val="46476EB4"/>
    <w:rsid w:val="464E4809"/>
    <w:rsid w:val="465005B9"/>
    <w:rsid w:val="468E773A"/>
    <w:rsid w:val="469149E0"/>
    <w:rsid w:val="469D1499"/>
    <w:rsid w:val="46AF10E3"/>
    <w:rsid w:val="46C6695C"/>
    <w:rsid w:val="46C73B51"/>
    <w:rsid w:val="47024B89"/>
    <w:rsid w:val="47107999"/>
    <w:rsid w:val="47143D01"/>
    <w:rsid w:val="47190850"/>
    <w:rsid w:val="47290367"/>
    <w:rsid w:val="47507FEA"/>
    <w:rsid w:val="475D68D6"/>
    <w:rsid w:val="477A1B32"/>
    <w:rsid w:val="478C7274"/>
    <w:rsid w:val="479B078B"/>
    <w:rsid w:val="47B503DA"/>
    <w:rsid w:val="47D67F9D"/>
    <w:rsid w:val="47ED75E7"/>
    <w:rsid w:val="47FE35A2"/>
    <w:rsid w:val="48082673"/>
    <w:rsid w:val="48104F4B"/>
    <w:rsid w:val="4813505E"/>
    <w:rsid w:val="4819662E"/>
    <w:rsid w:val="482C583F"/>
    <w:rsid w:val="48575A24"/>
    <w:rsid w:val="485A0F31"/>
    <w:rsid w:val="486960B0"/>
    <w:rsid w:val="48924E23"/>
    <w:rsid w:val="48937EE4"/>
    <w:rsid w:val="489B322B"/>
    <w:rsid w:val="48AE321A"/>
    <w:rsid w:val="48C269A2"/>
    <w:rsid w:val="48D50670"/>
    <w:rsid w:val="48E97E81"/>
    <w:rsid w:val="48EE1C81"/>
    <w:rsid w:val="48EE7ABB"/>
    <w:rsid w:val="48F7696F"/>
    <w:rsid w:val="48FD5F50"/>
    <w:rsid w:val="48FD7CFE"/>
    <w:rsid w:val="490960E7"/>
    <w:rsid w:val="491470E5"/>
    <w:rsid w:val="491A45B5"/>
    <w:rsid w:val="49222F70"/>
    <w:rsid w:val="49295900"/>
    <w:rsid w:val="494C080E"/>
    <w:rsid w:val="495A5912"/>
    <w:rsid w:val="497524EA"/>
    <w:rsid w:val="4984096B"/>
    <w:rsid w:val="49887640"/>
    <w:rsid w:val="4990049A"/>
    <w:rsid w:val="49A93559"/>
    <w:rsid w:val="49D91326"/>
    <w:rsid w:val="49E316DB"/>
    <w:rsid w:val="4A041CC6"/>
    <w:rsid w:val="4A0643BD"/>
    <w:rsid w:val="4A1B668D"/>
    <w:rsid w:val="4A2A2D74"/>
    <w:rsid w:val="4A315BF5"/>
    <w:rsid w:val="4A315EB1"/>
    <w:rsid w:val="4A3C6604"/>
    <w:rsid w:val="4A445F6B"/>
    <w:rsid w:val="4A45510E"/>
    <w:rsid w:val="4A524E6F"/>
    <w:rsid w:val="4A54502F"/>
    <w:rsid w:val="4A66609A"/>
    <w:rsid w:val="4A7B75C1"/>
    <w:rsid w:val="4A7D4C52"/>
    <w:rsid w:val="4A863467"/>
    <w:rsid w:val="4A9B77CE"/>
    <w:rsid w:val="4AB20F9F"/>
    <w:rsid w:val="4AB92A34"/>
    <w:rsid w:val="4ABE237D"/>
    <w:rsid w:val="4AC7411F"/>
    <w:rsid w:val="4AF72E03"/>
    <w:rsid w:val="4AFC3E8E"/>
    <w:rsid w:val="4B152A07"/>
    <w:rsid w:val="4B1C180C"/>
    <w:rsid w:val="4B1E1A4F"/>
    <w:rsid w:val="4B253B21"/>
    <w:rsid w:val="4B3949FD"/>
    <w:rsid w:val="4B3C128B"/>
    <w:rsid w:val="4B583122"/>
    <w:rsid w:val="4B5D7FE4"/>
    <w:rsid w:val="4B6260CD"/>
    <w:rsid w:val="4B6C5A20"/>
    <w:rsid w:val="4B775B45"/>
    <w:rsid w:val="4B842010"/>
    <w:rsid w:val="4B844FAB"/>
    <w:rsid w:val="4B924CBF"/>
    <w:rsid w:val="4B9634B6"/>
    <w:rsid w:val="4B9745A8"/>
    <w:rsid w:val="4B9E5DF9"/>
    <w:rsid w:val="4BBC1086"/>
    <w:rsid w:val="4BD74836"/>
    <w:rsid w:val="4BDC44F7"/>
    <w:rsid w:val="4BE11A5A"/>
    <w:rsid w:val="4BE156B5"/>
    <w:rsid w:val="4BE53277"/>
    <w:rsid w:val="4BE56F53"/>
    <w:rsid w:val="4C161A93"/>
    <w:rsid w:val="4C1A40B9"/>
    <w:rsid w:val="4C294CD7"/>
    <w:rsid w:val="4C350442"/>
    <w:rsid w:val="4C482F62"/>
    <w:rsid w:val="4C4F1C9D"/>
    <w:rsid w:val="4C5879AB"/>
    <w:rsid w:val="4C5D5B32"/>
    <w:rsid w:val="4C7B1F56"/>
    <w:rsid w:val="4C7C1075"/>
    <w:rsid w:val="4C7F3552"/>
    <w:rsid w:val="4C8512A3"/>
    <w:rsid w:val="4C9A44A7"/>
    <w:rsid w:val="4C9F0B13"/>
    <w:rsid w:val="4CB24DE4"/>
    <w:rsid w:val="4CB80AD8"/>
    <w:rsid w:val="4CBE2D36"/>
    <w:rsid w:val="4CD07C03"/>
    <w:rsid w:val="4CE03BBE"/>
    <w:rsid w:val="4CE7521E"/>
    <w:rsid w:val="4CEE2FE2"/>
    <w:rsid w:val="4CFE5DF2"/>
    <w:rsid w:val="4D0C2C77"/>
    <w:rsid w:val="4D2A270F"/>
    <w:rsid w:val="4D2A63E7"/>
    <w:rsid w:val="4D311078"/>
    <w:rsid w:val="4D3A6253"/>
    <w:rsid w:val="4D4A27DE"/>
    <w:rsid w:val="4D4F7737"/>
    <w:rsid w:val="4D522F2B"/>
    <w:rsid w:val="4D605565"/>
    <w:rsid w:val="4D8E353F"/>
    <w:rsid w:val="4DBB46A4"/>
    <w:rsid w:val="4DC21A85"/>
    <w:rsid w:val="4DCF687D"/>
    <w:rsid w:val="4DD76D6F"/>
    <w:rsid w:val="4DD80FDB"/>
    <w:rsid w:val="4DDC26BA"/>
    <w:rsid w:val="4DDC6134"/>
    <w:rsid w:val="4DEB3C6F"/>
    <w:rsid w:val="4DEE7FDD"/>
    <w:rsid w:val="4E035083"/>
    <w:rsid w:val="4E173DFC"/>
    <w:rsid w:val="4E1E7642"/>
    <w:rsid w:val="4E2157B8"/>
    <w:rsid w:val="4E243AAC"/>
    <w:rsid w:val="4E473EF5"/>
    <w:rsid w:val="4E4C150B"/>
    <w:rsid w:val="4E6011B1"/>
    <w:rsid w:val="4E6078EB"/>
    <w:rsid w:val="4E667F61"/>
    <w:rsid w:val="4E6F6FA8"/>
    <w:rsid w:val="4E791BD4"/>
    <w:rsid w:val="4E805ED2"/>
    <w:rsid w:val="4E844A0F"/>
    <w:rsid w:val="4E952D74"/>
    <w:rsid w:val="4E9A049C"/>
    <w:rsid w:val="4E9D4148"/>
    <w:rsid w:val="4EAD187E"/>
    <w:rsid w:val="4EB726FD"/>
    <w:rsid w:val="4EC07B31"/>
    <w:rsid w:val="4ED42E31"/>
    <w:rsid w:val="4EEA35C3"/>
    <w:rsid w:val="4EEA7FD8"/>
    <w:rsid w:val="4EF02C2A"/>
    <w:rsid w:val="4F0239C0"/>
    <w:rsid w:val="4F2953A8"/>
    <w:rsid w:val="4F346466"/>
    <w:rsid w:val="4F6A776F"/>
    <w:rsid w:val="4F6D7F7A"/>
    <w:rsid w:val="4F766114"/>
    <w:rsid w:val="4F9842DC"/>
    <w:rsid w:val="4FA669F9"/>
    <w:rsid w:val="4FAD4077"/>
    <w:rsid w:val="4FB1539E"/>
    <w:rsid w:val="4FB8570C"/>
    <w:rsid w:val="4FC13833"/>
    <w:rsid w:val="4FC652ED"/>
    <w:rsid w:val="4FDB0177"/>
    <w:rsid w:val="4FE81242"/>
    <w:rsid w:val="4FED26C4"/>
    <w:rsid w:val="4FF27E90"/>
    <w:rsid w:val="4FF40996"/>
    <w:rsid w:val="4FF71ABD"/>
    <w:rsid w:val="4FF9623B"/>
    <w:rsid w:val="5001120A"/>
    <w:rsid w:val="500A342C"/>
    <w:rsid w:val="50133BA7"/>
    <w:rsid w:val="501B2DF5"/>
    <w:rsid w:val="501B6121"/>
    <w:rsid w:val="50260FFD"/>
    <w:rsid w:val="50294AAD"/>
    <w:rsid w:val="503404A9"/>
    <w:rsid w:val="5039786D"/>
    <w:rsid w:val="50405A48"/>
    <w:rsid w:val="50414974"/>
    <w:rsid w:val="505521CD"/>
    <w:rsid w:val="50575886"/>
    <w:rsid w:val="507D4234"/>
    <w:rsid w:val="508A3C4F"/>
    <w:rsid w:val="509409A8"/>
    <w:rsid w:val="50B94988"/>
    <w:rsid w:val="50DD6E91"/>
    <w:rsid w:val="50EB2380"/>
    <w:rsid w:val="510317D9"/>
    <w:rsid w:val="510C765E"/>
    <w:rsid w:val="51257DF2"/>
    <w:rsid w:val="51330760"/>
    <w:rsid w:val="51425673"/>
    <w:rsid w:val="51467BED"/>
    <w:rsid w:val="514963DB"/>
    <w:rsid w:val="51571C09"/>
    <w:rsid w:val="515E1493"/>
    <w:rsid w:val="516D2BC8"/>
    <w:rsid w:val="518E1E3B"/>
    <w:rsid w:val="518F7A80"/>
    <w:rsid w:val="519D207E"/>
    <w:rsid w:val="51A151B5"/>
    <w:rsid w:val="51D3096A"/>
    <w:rsid w:val="51D5428B"/>
    <w:rsid w:val="51DC0DF8"/>
    <w:rsid w:val="51DD4959"/>
    <w:rsid w:val="52026B69"/>
    <w:rsid w:val="52106E7A"/>
    <w:rsid w:val="52195BA8"/>
    <w:rsid w:val="521D671E"/>
    <w:rsid w:val="52211609"/>
    <w:rsid w:val="522D783F"/>
    <w:rsid w:val="52316962"/>
    <w:rsid w:val="52494051"/>
    <w:rsid w:val="524F33D3"/>
    <w:rsid w:val="52524D6B"/>
    <w:rsid w:val="525C74FA"/>
    <w:rsid w:val="52676D69"/>
    <w:rsid w:val="526D647F"/>
    <w:rsid w:val="52735BE6"/>
    <w:rsid w:val="527436A9"/>
    <w:rsid w:val="527B0B6E"/>
    <w:rsid w:val="52834B25"/>
    <w:rsid w:val="52956C72"/>
    <w:rsid w:val="52972F91"/>
    <w:rsid w:val="52992845"/>
    <w:rsid w:val="52C553E8"/>
    <w:rsid w:val="52CC0C38"/>
    <w:rsid w:val="52CD532C"/>
    <w:rsid w:val="52EF191C"/>
    <w:rsid w:val="52F06F3A"/>
    <w:rsid w:val="52FA36B8"/>
    <w:rsid w:val="53057744"/>
    <w:rsid w:val="531043A0"/>
    <w:rsid w:val="531225F7"/>
    <w:rsid w:val="53135897"/>
    <w:rsid w:val="531377EE"/>
    <w:rsid w:val="531A1D19"/>
    <w:rsid w:val="53202F66"/>
    <w:rsid w:val="532E5683"/>
    <w:rsid w:val="533407C0"/>
    <w:rsid w:val="533B3710"/>
    <w:rsid w:val="5346615D"/>
    <w:rsid w:val="534A3B3F"/>
    <w:rsid w:val="535D44E5"/>
    <w:rsid w:val="536264C0"/>
    <w:rsid w:val="53736AD3"/>
    <w:rsid w:val="538F6092"/>
    <w:rsid w:val="539508FE"/>
    <w:rsid w:val="539C2A63"/>
    <w:rsid w:val="53A53F7E"/>
    <w:rsid w:val="53AA2830"/>
    <w:rsid w:val="53B536AF"/>
    <w:rsid w:val="53B63C4A"/>
    <w:rsid w:val="53BD42D4"/>
    <w:rsid w:val="53BD6A07"/>
    <w:rsid w:val="53C161BA"/>
    <w:rsid w:val="53D53D51"/>
    <w:rsid w:val="53FA34C3"/>
    <w:rsid w:val="54121818"/>
    <w:rsid w:val="541D1254"/>
    <w:rsid w:val="541E10A8"/>
    <w:rsid w:val="54234D64"/>
    <w:rsid w:val="54262366"/>
    <w:rsid w:val="54266722"/>
    <w:rsid w:val="54284CF2"/>
    <w:rsid w:val="543C16DA"/>
    <w:rsid w:val="54497D6E"/>
    <w:rsid w:val="544A6CFB"/>
    <w:rsid w:val="545A09DD"/>
    <w:rsid w:val="54764266"/>
    <w:rsid w:val="547831AD"/>
    <w:rsid w:val="547A66A6"/>
    <w:rsid w:val="549366B5"/>
    <w:rsid w:val="54B35714"/>
    <w:rsid w:val="54B41BB8"/>
    <w:rsid w:val="54BC0A6D"/>
    <w:rsid w:val="54C66B7F"/>
    <w:rsid w:val="54CA51E1"/>
    <w:rsid w:val="54CF254E"/>
    <w:rsid w:val="54DA1D79"/>
    <w:rsid w:val="54E56216"/>
    <w:rsid w:val="54E76163"/>
    <w:rsid w:val="54EC75A4"/>
    <w:rsid w:val="54ED6DD9"/>
    <w:rsid w:val="54F230EF"/>
    <w:rsid w:val="54F521F2"/>
    <w:rsid w:val="54F91008"/>
    <w:rsid w:val="55122546"/>
    <w:rsid w:val="551354C1"/>
    <w:rsid w:val="55357EFD"/>
    <w:rsid w:val="553D322F"/>
    <w:rsid w:val="55487339"/>
    <w:rsid w:val="554B56D5"/>
    <w:rsid w:val="556F1F83"/>
    <w:rsid w:val="55812FA7"/>
    <w:rsid w:val="55923320"/>
    <w:rsid w:val="55982572"/>
    <w:rsid w:val="55A0637F"/>
    <w:rsid w:val="55A7399A"/>
    <w:rsid w:val="55A80DBC"/>
    <w:rsid w:val="55AC6D33"/>
    <w:rsid w:val="55B27E8A"/>
    <w:rsid w:val="55BA69F6"/>
    <w:rsid w:val="55BB059E"/>
    <w:rsid w:val="55BE2D74"/>
    <w:rsid w:val="55C2781C"/>
    <w:rsid w:val="55CD4E7B"/>
    <w:rsid w:val="55D45677"/>
    <w:rsid w:val="55DB3175"/>
    <w:rsid w:val="55DB4F23"/>
    <w:rsid w:val="55EA33B8"/>
    <w:rsid w:val="55EC5382"/>
    <w:rsid w:val="55ED6C72"/>
    <w:rsid w:val="55F304BE"/>
    <w:rsid w:val="55FA184D"/>
    <w:rsid w:val="56084344"/>
    <w:rsid w:val="560B7371"/>
    <w:rsid w:val="561924A5"/>
    <w:rsid w:val="563850A5"/>
    <w:rsid w:val="563B5EA8"/>
    <w:rsid w:val="564469BE"/>
    <w:rsid w:val="5648537C"/>
    <w:rsid w:val="56502844"/>
    <w:rsid w:val="56505911"/>
    <w:rsid w:val="56595468"/>
    <w:rsid w:val="56881A68"/>
    <w:rsid w:val="568A11FB"/>
    <w:rsid w:val="569869C4"/>
    <w:rsid w:val="56A95021"/>
    <w:rsid w:val="56B714EC"/>
    <w:rsid w:val="56CD4670"/>
    <w:rsid w:val="56D0674C"/>
    <w:rsid w:val="56D2633A"/>
    <w:rsid w:val="56E74F6D"/>
    <w:rsid w:val="56EB1328"/>
    <w:rsid w:val="56F23B46"/>
    <w:rsid w:val="56F251A8"/>
    <w:rsid w:val="56F72C39"/>
    <w:rsid w:val="56FE512A"/>
    <w:rsid w:val="56FE711B"/>
    <w:rsid w:val="57034731"/>
    <w:rsid w:val="574236E7"/>
    <w:rsid w:val="576E7563"/>
    <w:rsid w:val="577613A7"/>
    <w:rsid w:val="578F505B"/>
    <w:rsid w:val="57A55676"/>
    <w:rsid w:val="57B1418D"/>
    <w:rsid w:val="57BB362F"/>
    <w:rsid w:val="57C17087"/>
    <w:rsid w:val="57CC199D"/>
    <w:rsid w:val="57D02D65"/>
    <w:rsid w:val="57D82404"/>
    <w:rsid w:val="57E642F4"/>
    <w:rsid w:val="57EB755D"/>
    <w:rsid w:val="5805584A"/>
    <w:rsid w:val="580E7831"/>
    <w:rsid w:val="581C23C9"/>
    <w:rsid w:val="581F1993"/>
    <w:rsid w:val="58245416"/>
    <w:rsid w:val="582D03AA"/>
    <w:rsid w:val="58411023"/>
    <w:rsid w:val="584506EC"/>
    <w:rsid w:val="585516AC"/>
    <w:rsid w:val="587B083D"/>
    <w:rsid w:val="588B5FDD"/>
    <w:rsid w:val="58A71115"/>
    <w:rsid w:val="58A82413"/>
    <w:rsid w:val="58C919AA"/>
    <w:rsid w:val="58D81874"/>
    <w:rsid w:val="58DC7930"/>
    <w:rsid w:val="5900361E"/>
    <w:rsid w:val="591168D4"/>
    <w:rsid w:val="59180B0D"/>
    <w:rsid w:val="591C41D0"/>
    <w:rsid w:val="59205A6E"/>
    <w:rsid w:val="592117E6"/>
    <w:rsid w:val="594A040E"/>
    <w:rsid w:val="594D217F"/>
    <w:rsid w:val="59561490"/>
    <w:rsid w:val="59583C47"/>
    <w:rsid w:val="595B0854"/>
    <w:rsid w:val="596067DE"/>
    <w:rsid w:val="59725489"/>
    <w:rsid w:val="59861649"/>
    <w:rsid w:val="598853C1"/>
    <w:rsid w:val="598F19AF"/>
    <w:rsid w:val="599117C3"/>
    <w:rsid w:val="5996188C"/>
    <w:rsid w:val="59BB5797"/>
    <w:rsid w:val="59CF4D9E"/>
    <w:rsid w:val="59D43694"/>
    <w:rsid w:val="59D52950"/>
    <w:rsid w:val="59EE2705"/>
    <w:rsid w:val="59FC0C9C"/>
    <w:rsid w:val="5A006A9A"/>
    <w:rsid w:val="5A085A19"/>
    <w:rsid w:val="5A0F31E9"/>
    <w:rsid w:val="5A0F3E83"/>
    <w:rsid w:val="5A146C55"/>
    <w:rsid w:val="5A197C7D"/>
    <w:rsid w:val="5A2A6479"/>
    <w:rsid w:val="5A3B231E"/>
    <w:rsid w:val="5A3D09A9"/>
    <w:rsid w:val="5A490FF5"/>
    <w:rsid w:val="5A4A02E1"/>
    <w:rsid w:val="5A53477B"/>
    <w:rsid w:val="5A58195D"/>
    <w:rsid w:val="5A5905D1"/>
    <w:rsid w:val="5A5C197E"/>
    <w:rsid w:val="5A5F1DD9"/>
    <w:rsid w:val="5A720BB8"/>
    <w:rsid w:val="5A7C4F26"/>
    <w:rsid w:val="5A896644"/>
    <w:rsid w:val="5AB07CF2"/>
    <w:rsid w:val="5ABC7179"/>
    <w:rsid w:val="5ACB1A0A"/>
    <w:rsid w:val="5AD17E36"/>
    <w:rsid w:val="5AFA7B96"/>
    <w:rsid w:val="5B0015B8"/>
    <w:rsid w:val="5B00605E"/>
    <w:rsid w:val="5B095BCC"/>
    <w:rsid w:val="5B161F0B"/>
    <w:rsid w:val="5B17043B"/>
    <w:rsid w:val="5B170542"/>
    <w:rsid w:val="5B361726"/>
    <w:rsid w:val="5B461090"/>
    <w:rsid w:val="5B6F05E7"/>
    <w:rsid w:val="5B874E3C"/>
    <w:rsid w:val="5B883E0A"/>
    <w:rsid w:val="5B91324A"/>
    <w:rsid w:val="5B9C7546"/>
    <w:rsid w:val="5BB24978"/>
    <w:rsid w:val="5BBA2C5B"/>
    <w:rsid w:val="5BBD3DFF"/>
    <w:rsid w:val="5BD16A64"/>
    <w:rsid w:val="5BD43FBF"/>
    <w:rsid w:val="5BE07737"/>
    <w:rsid w:val="5C1919D1"/>
    <w:rsid w:val="5C1B076F"/>
    <w:rsid w:val="5C1E1DF6"/>
    <w:rsid w:val="5C1F5413"/>
    <w:rsid w:val="5C343DF8"/>
    <w:rsid w:val="5C365168"/>
    <w:rsid w:val="5C451348"/>
    <w:rsid w:val="5C514E2F"/>
    <w:rsid w:val="5C672263"/>
    <w:rsid w:val="5C7E0D01"/>
    <w:rsid w:val="5C9D7CF4"/>
    <w:rsid w:val="5CA35E8F"/>
    <w:rsid w:val="5CBD425B"/>
    <w:rsid w:val="5CCF0A79"/>
    <w:rsid w:val="5CD92914"/>
    <w:rsid w:val="5CDF354A"/>
    <w:rsid w:val="5CE44C91"/>
    <w:rsid w:val="5CE46DB3"/>
    <w:rsid w:val="5D0134C1"/>
    <w:rsid w:val="5D0B07E3"/>
    <w:rsid w:val="5D0F7292"/>
    <w:rsid w:val="5D2268F2"/>
    <w:rsid w:val="5D2329C6"/>
    <w:rsid w:val="5D237123"/>
    <w:rsid w:val="5D2A6F8F"/>
    <w:rsid w:val="5D2B343B"/>
    <w:rsid w:val="5D3D64C3"/>
    <w:rsid w:val="5D3F4BF0"/>
    <w:rsid w:val="5D494E68"/>
    <w:rsid w:val="5D6B1282"/>
    <w:rsid w:val="5D6C4344"/>
    <w:rsid w:val="5D7C3512"/>
    <w:rsid w:val="5DA37EF5"/>
    <w:rsid w:val="5DA451C1"/>
    <w:rsid w:val="5DC170F4"/>
    <w:rsid w:val="5DC866D4"/>
    <w:rsid w:val="5DFC012C"/>
    <w:rsid w:val="5DFD2CDA"/>
    <w:rsid w:val="5E021BF1"/>
    <w:rsid w:val="5E1C3F04"/>
    <w:rsid w:val="5E28494C"/>
    <w:rsid w:val="5E294417"/>
    <w:rsid w:val="5E2E67A8"/>
    <w:rsid w:val="5E4C5DAB"/>
    <w:rsid w:val="5E556D0B"/>
    <w:rsid w:val="5E58112D"/>
    <w:rsid w:val="5E677C9B"/>
    <w:rsid w:val="5E7813D8"/>
    <w:rsid w:val="5E7B3747"/>
    <w:rsid w:val="5E8C1C35"/>
    <w:rsid w:val="5E8D4131"/>
    <w:rsid w:val="5EA52572"/>
    <w:rsid w:val="5EAE7678"/>
    <w:rsid w:val="5EBB785B"/>
    <w:rsid w:val="5EDC2D1E"/>
    <w:rsid w:val="5EE7485D"/>
    <w:rsid w:val="5EEF6D7E"/>
    <w:rsid w:val="5F1B2B11"/>
    <w:rsid w:val="5F22579C"/>
    <w:rsid w:val="5F2A6379"/>
    <w:rsid w:val="5F346F7D"/>
    <w:rsid w:val="5F395630"/>
    <w:rsid w:val="5F3D5379"/>
    <w:rsid w:val="5F467F61"/>
    <w:rsid w:val="5F5A6D0B"/>
    <w:rsid w:val="5F5B278A"/>
    <w:rsid w:val="5F664ADF"/>
    <w:rsid w:val="5F7268F8"/>
    <w:rsid w:val="5F776A62"/>
    <w:rsid w:val="5F7A3577"/>
    <w:rsid w:val="5F7D2D1F"/>
    <w:rsid w:val="5F7F0FB8"/>
    <w:rsid w:val="5F7F4139"/>
    <w:rsid w:val="5F812FDF"/>
    <w:rsid w:val="5F831102"/>
    <w:rsid w:val="5F936039"/>
    <w:rsid w:val="5F98156A"/>
    <w:rsid w:val="5FA025C7"/>
    <w:rsid w:val="5FA23DB9"/>
    <w:rsid w:val="5FA42A2C"/>
    <w:rsid w:val="5FA62A45"/>
    <w:rsid w:val="60053DD4"/>
    <w:rsid w:val="600652A6"/>
    <w:rsid w:val="60121E89"/>
    <w:rsid w:val="601D656F"/>
    <w:rsid w:val="602C2509"/>
    <w:rsid w:val="60302541"/>
    <w:rsid w:val="605129B1"/>
    <w:rsid w:val="605B6228"/>
    <w:rsid w:val="60786CFC"/>
    <w:rsid w:val="60944E5E"/>
    <w:rsid w:val="609C04D3"/>
    <w:rsid w:val="60A71236"/>
    <w:rsid w:val="60AA7324"/>
    <w:rsid w:val="60B13450"/>
    <w:rsid w:val="60B368C7"/>
    <w:rsid w:val="60B96500"/>
    <w:rsid w:val="60BB7E2A"/>
    <w:rsid w:val="60BC29F1"/>
    <w:rsid w:val="60BD0047"/>
    <w:rsid w:val="60BD4E13"/>
    <w:rsid w:val="60E2185B"/>
    <w:rsid w:val="60F449B2"/>
    <w:rsid w:val="61004390"/>
    <w:rsid w:val="61113BC5"/>
    <w:rsid w:val="61127EA2"/>
    <w:rsid w:val="61196AD5"/>
    <w:rsid w:val="612260FC"/>
    <w:rsid w:val="613057B7"/>
    <w:rsid w:val="61332E72"/>
    <w:rsid w:val="613B0F6B"/>
    <w:rsid w:val="614119B8"/>
    <w:rsid w:val="61443276"/>
    <w:rsid w:val="61580FE4"/>
    <w:rsid w:val="615E036F"/>
    <w:rsid w:val="615E7CCC"/>
    <w:rsid w:val="61605860"/>
    <w:rsid w:val="616952FD"/>
    <w:rsid w:val="617050B9"/>
    <w:rsid w:val="61805AAF"/>
    <w:rsid w:val="61876A72"/>
    <w:rsid w:val="618F6C61"/>
    <w:rsid w:val="61A66D2D"/>
    <w:rsid w:val="61B41449"/>
    <w:rsid w:val="61C056E5"/>
    <w:rsid w:val="61C43BA7"/>
    <w:rsid w:val="61C928D1"/>
    <w:rsid w:val="61D70C94"/>
    <w:rsid w:val="61DB152F"/>
    <w:rsid w:val="61E3588B"/>
    <w:rsid w:val="61F657B8"/>
    <w:rsid w:val="6200468F"/>
    <w:rsid w:val="62080547"/>
    <w:rsid w:val="620F49AE"/>
    <w:rsid w:val="62154E77"/>
    <w:rsid w:val="62232481"/>
    <w:rsid w:val="62293403"/>
    <w:rsid w:val="622F0DE0"/>
    <w:rsid w:val="62347FAF"/>
    <w:rsid w:val="62496B6E"/>
    <w:rsid w:val="624F6F2D"/>
    <w:rsid w:val="625A02AF"/>
    <w:rsid w:val="626562A0"/>
    <w:rsid w:val="626F2992"/>
    <w:rsid w:val="62707B03"/>
    <w:rsid w:val="62744739"/>
    <w:rsid w:val="62854B94"/>
    <w:rsid w:val="628F7D79"/>
    <w:rsid w:val="62D376AD"/>
    <w:rsid w:val="62D90A3C"/>
    <w:rsid w:val="62E1431E"/>
    <w:rsid w:val="62EE50B6"/>
    <w:rsid w:val="62F15D85"/>
    <w:rsid w:val="62F329B7"/>
    <w:rsid w:val="630006BE"/>
    <w:rsid w:val="6300246C"/>
    <w:rsid w:val="63046B74"/>
    <w:rsid w:val="6307369F"/>
    <w:rsid w:val="63117E08"/>
    <w:rsid w:val="63161C90"/>
    <w:rsid w:val="633A242D"/>
    <w:rsid w:val="635337A6"/>
    <w:rsid w:val="6354015B"/>
    <w:rsid w:val="63604CB9"/>
    <w:rsid w:val="63616FBA"/>
    <w:rsid w:val="63646637"/>
    <w:rsid w:val="637A7B03"/>
    <w:rsid w:val="639B0D9E"/>
    <w:rsid w:val="639C3223"/>
    <w:rsid w:val="639F518E"/>
    <w:rsid w:val="63A365C7"/>
    <w:rsid w:val="63A454EE"/>
    <w:rsid w:val="63A8314E"/>
    <w:rsid w:val="63AC081F"/>
    <w:rsid w:val="63BE0F37"/>
    <w:rsid w:val="63C2595E"/>
    <w:rsid w:val="63C51C18"/>
    <w:rsid w:val="63CB1C09"/>
    <w:rsid w:val="63CF1BCC"/>
    <w:rsid w:val="63D63D42"/>
    <w:rsid w:val="63DE4E6F"/>
    <w:rsid w:val="63E458EA"/>
    <w:rsid w:val="640A69EA"/>
    <w:rsid w:val="640B2E77"/>
    <w:rsid w:val="640F6E0B"/>
    <w:rsid w:val="6410428F"/>
    <w:rsid w:val="64122457"/>
    <w:rsid w:val="642B52C7"/>
    <w:rsid w:val="64434CED"/>
    <w:rsid w:val="64525E6F"/>
    <w:rsid w:val="64601415"/>
    <w:rsid w:val="647D4422"/>
    <w:rsid w:val="64967909"/>
    <w:rsid w:val="64973A5A"/>
    <w:rsid w:val="64AA2690"/>
    <w:rsid w:val="64C03C61"/>
    <w:rsid w:val="64C16B3D"/>
    <w:rsid w:val="64DD2A65"/>
    <w:rsid w:val="64E55AB9"/>
    <w:rsid w:val="64EE6AA2"/>
    <w:rsid w:val="64FE29DC"/>
    <w:rsid w:val="6517172B"/>
    <w:rsid w:val="654235BB"/>
    <w:rsid w:val="65441497"/>
    <w:rsid w:val="654E5680"/>
    <w:rsid w:val="654F3237"/>
    <w:rsid w:val="65530F79"/>
    <w:rsid w:val="65533C99"/>
    <w:rsid w:val="65640A91"/>
    <w:rsid w:val="65646CE3"/>
    <w:rsid w:val="65675A6D"/>
    <w:rsid w:val="65693D66"/>
    <w:rsid w:val="656A30F3"/>
    <w:rsid w:val="65764C68"/>
    <w:rsid w:val="657A6EF0"/>
    <w:rsid w:val="65842EE1"/>
    <w:rsid w:val="65860E11"/>
    <w:rsid w:val="658D5301"/>
    <w:rsid w:val="659D3FA3"/>
    <w:rsid w:val="65B90BF8"/>
    <w:rsid w:val="65D31D6D"/>
    <w:rsid w:val="65D433F7"/>
    <w:rsid w:val="65DF0FAA"/>
    <w:rsid w:val="65E46075"/>
    <w:rsid w:val="65EB7404"/>
    <w:rsid w:val="66024DE1"/>
    <w:rsid w:val="661701F9"/>
    <w:rsid w:val="66296E44"/>
    <w:rsid w:val="662C6A60"/>
    <w:rsid w:val="664408C2"/>
    <w:rsid w:val="66723681"/>
    <w:rsid w:val="66734E89"/>
    <w:rsid w:val="667B18AC"/>
    <w:rsid w:val="669B4986"/>
    <w:rsid w:val="669B71AF"/>
    <w:rsid w:val="66C67BD2"/>
    <w:rsid w:val="66E63727"/>
    <w:rsid w:val="66F75934"/>
    <w:rsid w:val="67020F3E"/>
    <w:rsid w:val="6737777F"/>
    <w:rsid w:val="673C6314"/>
    <w:rsid w:val="6745041D"/>
    <w:rsid w:val="67776250"/>
    <w:rsid w:val="677D22DE"/>
    <w:rsid w:val="678A1321"/>
    <w:rsid w:val="678B5AFD"/>
    <w:rsid w:val="67AA29A7"/>
    <w:rsid w:val="67AB0BF9"/>
    <w:rsid w:val="67B47053"/>
    <w:rsid w:val="67B6134C"/>
    <w:rsid w:val="67CE1741"/>
    <w:rsid w:val="67DF62C5"/>
    <w:rsid w:val="6809591F"/>
    <w:rsid w:val="6811140F"/>
    <w:rsid w:val="6817328F"/>
    <w:rsid w:val="68456D65"/>
    <w:rsid w:val="685309F8"/>
    <w:rsid w:val="68640AED"/>
    <w:rsid w:val="687025EE"/>
    <w:rsid w:val="6878062D"/>
    <w:rsid w:val="687A11E5"/>
    <w:rsid w:val="68A65864"/>
    <w:rsid w:val="68C46CA4"/>
    <w:rsid w:val="68CD2DF1"/>
    <w:rsid w:val="68DA5E49"/>
    <w:rsid w:val="68DB2B3B"/>
    <w:rsid w:val="68E7246A"/>
    <w:rsid w:val="68E96A4F"/>
    <w:rsid w:val="68F93BE6"/>
    <w:rsid w:val="68FF6DF4"/>
    <w:rsid w:val="690A194F"/>
    <w:rsid w:val="69204F3B"/>
    <w:rsid w:val="694C2A9E"/>
    <w:rsid w:val="69721032"/>
    <w:rsid w:val="69764E27"/>
    <w:rsid w:val="697F058F"/>
    <w:rsid w:val="69823BDB"/>
    <w:rsid w:val="69846EAC"/>
    <w:rsid w:val="699302E5"/>
    <w:rsid w:val="69A74684"/>
    <w:rsid w:val="69A97722"/>
    <w:rsid w:val="69B471CE"/>
    <w:rsid w:val="69B5672E"/>
    <w:rsid w:val="69BE2739"/>
    <w:rsid w:val="69BE518B"/>
    <w:rsid w:val="69C42446"/>
    <w:rsid w:val="69D64202"/>
    <w:rsid w:val="6A1D1B56"/>
    <w:rsid w:val="6A2B06BD"/>
    <w:rsid w:val="6A3258FA"/>
    <w:rsid w:val="6A3A2708"/>
    <w:rsid w:val="6A3C3EBF"/>
    <w:rsid w:val="6A506220"/>
    <w:rsid w:val="6A5F5CCB"/>
    <w:rsid w:val="6A6A3EBF"/>
    <w:rsid w:val="6A813F55"/>
    <w:rsid w:val="6A880A51"/>
    <w:rsid w:val="6A9E77F5"/>
    <w:rsid w:val="6AC76C5B"/>
    <w:rsid w:val="6AD96430"/>
    <w:rsid w:val="6AE00903"/>
    <w:rsid w:val="6AF2716B"/>
    <w:rsid w:val="6B151E45"/>
    <w:rsid w:val="6B214AAC"/>
    <w:rsid w:val="6B2674F5"/>
    <w:rsid w:val="6B472352"/>
    <w:rsid w:val="6B517D09"/>
    <w:rsid w:val="6B851761"/>
    <w:rsid w:val="6B9666AF"/>
    <w:rsid w:val="6BA442DD"/>
    <w:rsid w:val="6BB263AE"/>
    <w:rsid w:val="6BB81B36"/>
    <w:rsid w:val="6BC3046E"/>
    <w:rsid w:val="6BD44481"/>
    <w:rsid w:val="6BD77B89"/>
    <w:rsid w:val="6BE163E9"/>
    <w:rsid w:val="6BEA3CBA"/>
    <w:rsid w:val="6C066C46"/>
    <w:rsid w:val="6C0F0B09"/>
    <w:rsid w:val="6C150D37"/>
    <w:rsid w:val="6C224890"/>
    <w:rsid w:val="6C303DC2"/>
    <w:rsid w:val="6C31178D"/>
    <w:rsid w:val="6C507FC1"/>
    <w:rsid w:val="6C522A70"/>
    <w:rsid w:val="6C56457F"/>
    <w:rsid w:val="6C882CD0"/>
    <w:rsid w:val="6C976C1F"/>
    <w:rsid w:val="6C9822E2"/>
    <w:rsid w:val="6CA16A6E"/>
    <w:rsid w:val="6CA4030D"/>
    <w:rsid w:val="6CAF7CE4"/>
    <w:rsid w:val="6CB16AD5"/>
    <w:rsid w:val="6CC02282"/>
    <w:rsid w:val="6CC32850"/>
    <w:rsid w:val="6CCA700A"/>
    <w:rsid w:val="6CD418CB"/>
    <w:rsid w:val="6CD60113"/>
    <w:rsid w:val="6CDF1345"/>
    <w:rsid w:val="6CDF1C45"/>
    <w:rsid w:val="6D1254AA"/>
    <w:rsid w:val="6D1902BC"/>
    <w:rsid w:val="6D323B6A"/>
    <w:rsid w:val="6D3F6EA2"/>
    <w:rsid w:val="6D521B17"/>
    <w:rsid w:val="6D5F72F2"/>
    <w:rsid w:val="6D627EBE"/>
    <w:rsid w:val="6D8D7153"/>
    <w:rsid w:val="6D9C10A4"/>
    <w:rsid w:val="6D9D7236"/>
    <w:rsid w:val="6DA57189"/>
    <w:rsid w:val="6DBB59FB"/>
    <w:rsid w:val="6DDC06C4"/>
    <w:rsid w:val="6DDE23A0"/>
    <w:rsid w:val="6DE3529E"/>
    <w:rsid w:val="6DEA1D4F"/>
    <w:rsid w:val="6DF1132F"/>
    <w:rsid w:val="6E042C2A"/>
    <w:rsid w:val="6E0E1A5F"/>
    <w:rsid w:val="6E137010"/>
    <w:rsid w:val="6E150477"/>
    <w:rsid w:val="6E1B709B"/>
    <w:rsid w:val="6E4D7CE0"/>
    <w:rsid w:val="6E636716"/>
    <w:rsid w:val="6E6B02F2"/>
    <w:rsid w:val="6E6B15F2"/>
    <w:rsid w:val="6E6C47A7"/>
    <w:rsid w:val="6E7066F8"/>
    <w:rsid w:val="6E761835"/>
    <w:rsid w:val="6E9A19C7"/>
    <w:rsid w:val="6E9E5757"/>
    <w:rsid w:val="6EA04641"/>
    <w:rsid w:val="6EA4597D"/>
    <w:rsid w:val="6EB16425"/>
    <w:rsid w:val="6EB327ED"/>
    <w:rsid w:val="6EB64476"/>
    <w:rsid w:val="6EDC4624"/>
    <w:rsid w:val="6EE664C6"/>
    <w:rsid w:val="6EED1FF5"/>
    <w:rsid w:val="6F1352D6"/>
    <w:rsid w:val="6F1439DE"/>
    <w:rsid w:val="6F2413FB"/>
    <w:rsid w:val="6F2655CF"/>
    <w:rsid w:val="6F2B4A33"/>
    <w:rsid w:val="6F561D13"/>
    <w:rsid w:val="6F694C60"/>
    <w:rsid w:val="6F9A761A"/>
    <w:rsid w:val="6FB10C62"/>
    <w:rsid w:val="6FB96C38"/>
    <w:rsid w:val="6FBF41C2"/>
    <w:rsid w:val="6FCF227C"/>
    <w:rsid w:val="6FDB5DF3"/>
    <w:rsid w:val="6FDF62BA"/>
    <w:rsid w:val="6FE01BE4"/>
    <w:rsid w:val="6FED5C73"/>
    <w:rsid w:val="6FF23B92"/>
    <w:rsid w:val="70076BE8"/>
    <w:rsid w:val="70167664"/>
    <w:rsid w:val="701E3F32"/>
    <w:rsid w:val="70344BA7"/>
    <w:rsid w:val="7042491C"/>
    <w:rsid w:val="70447E3C"/>
    <w:rsid w:val="70547015"/>
    <w:rsid w:val="705D2CAF"/>
    <w:rsid w:val="706376B7"/>
    <w:rsid w:val="706731CF"/>
    <w:rsid w:val="706E4EB9"/>
    <w:rsid w:val="707B493C"/>
    <w:rsid w:val="709D26ED"/>
    <w:rsid w:val="70B5022D"/>
    <w:rsid w:val="70B96C2C"/>
    <w:rsid w:val="70BC291B"/>
    <w:rsid w:val="70C1238E"/>
    <w:rsid w:val="70CE5177"/>
    <w:rsid w:val="70D50A94"/>
    <w:rsid w:val="70E1498D"/>
    <w:rsid w:val="70E1568B"/>
    <w:rsid w:val="70F11398"/>
    <w:rsid w:val="70F53623"/>
    <w:rsid w:val="70FC0717"/>
    <w:rsid w:val="70FD0CB3"/>
    <w:rsid w:val="7120759D"/>
    <w:rsid w:val="7121017E"/>
    <w:rsid w:val="7131029F"/>
    <w:rsid w:val="7134243C"/>
    <w:rsid w:val="71477B07"/>
    <w:rsid w:val="714B778F"/>
    <w:rsid w:val="714C14FB"/>
    <w:rsid w:val="71531542"/>
    <w:rsid w:val="71594B1A"/>
    <w:rsid w:val="71696914"/>
    <w:rsid w:val="716E0414"/>
    <w:rsid w:val="71750DA8"/>
    <w:rsid w:val="717C53B4"/>
    <w:rsid w:val="71852264"/>
    <w:rsid w:val="71C719BD"/>
    <w:rsid w:val="71CD20B4"/>
    <w:rsid w:val="71D465DA"/>
    <w:rsid w:val="71EB7D54"/>
    <w:rsid w:val="71FB09CF"/>
    <w:rsid w:val="72057945"/>
    <w:rsid w:val="72081016"/>
    <w:rsid w:val="72186B9B"/>
    <w:rsid w:val="721F2D5F"/>
    <w:rsid w:val="722417A6"/>
    <w:rsid w:val="723469D8"/>
    <w:rsid w:val="723960A5"/>
    <w:rsid w:val="723C4572"/>
    <w:rsid w:val="7253310B"/>
    <w:rsid w:val="72617199"/>
    <w:rsid w:val="72757747"/>
    <w:rsid w:val="7287390F"/>
    <w:rsid w:val="72966C68"/>
    <w:rsid w:val="729B611A"/>
    <w:rsid w:val="729D55E2"/>
    <w:rsid w:val="72A21A8B"/>
    <w:rsid w:val="72CB7615"/>
    <w:rsid w:val="72CD39AE"/>
    <w:rsid w:val="72CD5D48"/>
    <w:rsid w:val="72CD76A8"/>
    <w:rsid w:val="72D7609F"/>
    <w:rsid w:val="72E826FD"/>
    <w:rsid w:val="72F0685D"/>
    <w:rsid w:val="730438B3"/>
    <w:rsid w:val="7309711B"/>
    <w:rsid w:val="7311772D"/>
    <w:rsid w:val="731820A4"/>
    <w:rsid w:val="731F242B"/>
    <w:rsid w:val="732B21DF"/>
    <w:rsid w:val="732E2F98"/>
    <w:rsid w:val="73421C18"/>
    <w:rsid w:val="734A6819"/>
    <w:rsid w:val="73531308"/>
    <w:rsid w:val="73534C7E"/>
    <w:rsid w:val="735455E9"/>
    <w:rsid w:val="735600FB"/>
    <w:rsid w:val="736E6F7E"/>
    <w:rsid w:val="73700F48"/>
    <w:rsid w:val="737F06A0"/>
    <w:rsid w:val="737F096E"/>
    <w:rsid w:val="738605D1"/>
    <w:rsid w:val="73A11102"/>
    <w:rsid w:val="73AD05F4"/>
    <w:rsid w:val="73BB1DD0"/>
    <w:rsid w:val="73C34071"/>
    <w:rsid w:val="73C81CBB"/>
    <w:rsid w:val="73DE7C85"/>
    <w:rsid w:val="73E536E4"/>
    <w:rsid w:val="73F529AB"/>
    <w:rsid w:val="73F61544"/>
    <w:rsid w:val="740F250F"/>
    <w:rsid w:val="74106F3C"/>
    <w:rsid w:val="742C4E6F"/>
    <w:rsid w:val="743B1556"/>
    <w:rsid w:val="74621F57"/>
    <w:rsid w:val="746D6DD6"/>
    <w:rsid w:val="7497260F"/>
    <w:rsid w:val="74974695"/>
    <w:rsid w:val="74995E18"/>
    <w:rsid w:val="749B3DA3"/>
    <w:rsid w:val="749D3FBF"/>
    <w:rsid w:val="74A808EF"/>
    <w:rsid w:val="74B84955"/>
    <w:rsid w:val="74CA4688"/>
    <w:rsid w:val="74DA7A74"/>
    <w:rsid w:val="74EB4D2A"/>
    <w:rsid w:val="74EE0377"/>
    <w:rsid w:val="750000AA"/>
    <w:rsid w:val="75017940"/>
    <w:rsid w:val="75104791"/>
    <w:rsid w:val="75134281"/>
    <w:rsid w:val="75183646"/>
    <w:rsid w:val="751F49D4"/>
    <w:rsid w:val="75220020"/>
    <w:rsid w:val="75233019"/>
    <w:rsid w:val="75420C99"/>
    <w:rsid w:val="755C3532"/>
    <w:rsid w:val="75661BB1"/>
    <w:rsid w:val="75745049"/>
    <w:rsid w:val="758D4034"/>
    <w:rsid w:val="759650DB"/>
    <w:rsid w:val="75A373B3"/>
    <w:rsid w:val="75C231D4"/>
    <w:rsid w:val="75CF2869"/>
    <w:rsid w:val="75D24AC9"/>
    <w:rsid w:val="75EC0026"/>
    <w:rsid w:val="76124539"/>
    <w:rsid w:val="761262E7"/>
    <w:rsid w:val="766341D3"/>
    <w:rsid w:val="76675EA0"/>
    <w:rsid w:val="76A21419"/>
    <w:rsid w:val="76A22693"/>
    <w:rsid w:val="76C43A85"/>
    <w:rsid w:val="76C515AB"/>
    <w:rsid w:val="76CE3202"/>
    <w:rsid w:val="76D35A76"/>
    <w:rsid w:val="76DD06A3"/>
    <w:rsid w:val="76F4560B"/>
    <w:rsid w:val="76FE2465"/>
    <w:rsid w:val="770245AD"/>
    <w:rsid w:val="77043E82"/>
    <w:rsid w:val="7749547D"/>
    <w:rsid w:val="7769092B"/>
    <w:rsid w:val="777E4F45"/>
    <w:rsid w:val="778B4A2C"/>
    <w:rsid w:val="77974CF6"/>
    <w:rsid w:val="77A407E3"/>
    <w:rsid w:val="77A61681"/>
    <w:rsid w:val="77B118E6"/>
    <w:rsid w:val="77CD4BBB"/>
    <w:rsid w:val="77E65C7D"/>
    <w:rsid w:val="77F51A1C"/>
    <w:rsid w:val="78014865"/>
    <w:rsid w:val="782115C4"/>
    <w:rsid w:val="78220996"/>
    <w:rsid w:val="7826701A"/>
    <w:rsid w:val="783532AA"/>
    <w:rsid w:val="78407669"/>
    <w:rsid w:val="78482494"/>
    <w:rsid w:val="786524C7"/>
    <w:rsid w:val="786527E8"/>
    <w:rsid w:val="786646C8"/>
    <w:rsid w:val="78693FF6"/>
    <w:rsid w:val="786D0058"/>
    <w:rsid w:val="787222E6"/>
    <w:rsid w:val="78753951"/>
    <w:rsid w:val="78767001"/>
    <w:rsid w:val="788A3B1A"/>
    <w:rsid w:val="788D6B17"/>
    <w:rsid w:val="78947487"/>
    <w:rsid w:val="789D458E"/>
    <w:rsid w:val="78A11D0C"/>
    <w:rsid w:val="78A771BA"/>
    <w:rsid w:val="78AC487D"/>
    <w:rsid w:val="78B43685"/>
    <w:rsid w:val="78BC253A"/>
    <w:rsid w:val="78C5383A"/>
    <w:rsid w:val="78CB3D3E"/>
    <w:rsid w:val="78D06373"/>
    <w:rsid w:val="78D75C24"/>
    <w:rsid w:val="78E55958"/>
    <w:rsid w:val="78F543CA"/>
    <w:rsid w:val="78FD6EB6"/>
    <w:rsid w:val="790073DA"/>
    <w:rsid w:val="790609F0"/>
    <w:rsid w:val="790A658D"/>
    <w:rsid w:val="79181E66"/>
    <w:rsid w:val="79297FB6"/>
    <w:rsid w:val="792A3948"/>
    <w:rsid w:val="792C7DCB"/>
    <w:rsid w:val="79497195"/>
    <w:rsid w:val="794C13B1"/>
    <w:rsid w:val="794D10FB"/>
    <w:rsid w:val="795E2CD5"/>
    <w:rsid w:val="79662F2F"/>
    <w:rsid w:val="79687811"/>
    <w:rsid w:val="796A3CAE"/>
    <w:rsid w:val="796C437B"/>
    <w:rsid w:val="797D759C"/>
    <w:rsid w:val="797D7F1B"/>
    <w:rsid w:val="799E3CDC"/>
    <w:rsid w:val="79A4144B"/>
    <w:rsid w:val="79A614AB"/>
    <w:rsid w:val="79AD6A52"/>
    <w:rsid w:val="79CD397D"/>
    <w:rsid w:val="79E924E8"/>
    <w:rsid w:val="7A0C2CC5"/>
    <w:rsid w:val="7A0F16AA"/>
    <w:rsid w:val="7A1E6840"/>
    <w:rsid w:val="7A1F6341"/>
    <w:rsid w:val="7A396538"/>
    <w:rsid w:val="7A3E6E93"/>
    <w:rsid w:val="7A440FCE"/>
    <w:rsid w:val="7A4601A0"/>
    <w:rsid w:val="7A4773F3"/>
    <w:rsid w:val="7A513EC3"/>
    <w:rsid w:val="7A644541"/>
    <w:rsid w:val="7A65132B"/>
    <w:rsid w:val="7A804167"/>
    <w:rsid w:val="7AA117BE"/>
    <w:rsid w:val="7AA250FE"/>
    <w:rsid w:val="7AA27D23"/>
    <w:rsid w:val="7AA62455"/>
    <w:rsid w:val="7AA80FC8"/>
    <w:rsid w:val="7AB846B0"/>
    <w:rsid w:val="7AC51B7A"/>
    <w:rsid w:val="7AD46261"/>
    <w:rsid w:val="7ADF0C11"/>
    <w:rsid w:val="7AE54983"/>
    <w:rsid w:val="7AE75F94"/>
    <w:rsid w:val="7AF20495"/>
    <w:rsid w:val="7AF214BD"/>
    <w:rsid w:val="7B354389"/>
    <w:rsid w:val="7B57638E"/>
    <w:rsid w:val="7B590596"/>
    <w:rsid w:val="7B642F91"/>
    <w:rsid w:val="7B6770D5"/>
    <w:rsid w:val="7B683283"/>
    <w:rsid w:val="7B6A3EEE"/>
    <w:rsid w:val="7B794B8B"/>
    <w:rsid w:val="7B8225D5"/>
    <w:rsid w:val="7B8824E2"/>
    <w:rsid w:val="7B890DF9"/>
    <w:rsid w:val="7B8D3D6E"/>
    <w:rsid w:val="7B8E4662"/>
    <w:rsid w:val="7B921007"/>
    <w:rsid w:val="7B9300CC"/>
    <w:rsid w:val="7BA10A5B"/>
    <w:rsid w:val="7BAB0D70"/>
    <w:rsid w:val="7BB57E40"/>
    <w:rsid w:val="7BDC361F"/>
    <w:rsid w:val="7BFF0D1D"/>
    <w:rsid w:val="7C0F5A6A"/>
    <w:rsid w:val="7C105077"/>
    <w:rsid w:val="7C123663"/>
    <w:rsid w:val="7C2619F1"/>
    <w:rsid w:val="7C273E08"/>
    <w:rsid w:val="7C2A4043"/>
    <w:rsid w:val="7C2E35D3"/>
    <w:rsid w:val="7C3012D4"/>
    <w:rsid w:val="7C4C2BB9"/>
    <w:rsid w:val="7C5A0B34"/>
    <w:rsid w:val="7C6043DA"/>
    <w:rsid w:val="7C66113B"/>
    <w:rsid w:val="7C6D7873"/>
    <w:rsid w:val="7C703D67"/>
    <w:rsid w:val="7C8F1F7D"/>
    <w:rsid w:val="7CC11B23"/>
    <w:rsid w:val="7CD46ADE"/>
    <w:rsid w:val="7CEC7123"/>
    <w:rsid w:val="7CEE4420"/>
    <w:rsid w:val="7CF629D9"/>
    <w:rsid w:val="7D091BB4"/>
    <w:rsid w:val="7D364589"/>
    <w:rsid w:val="7D511DEB"/>
    <w:rsid w:val="7D5E522E"/>
    <w:rsid w:val="7D690EE2"/>
    <w:rsid w:val="7D823D52"/>
    <w:rsid w:val="7DA4016C"/>
    <w:rsid w:val="7DB163E5"/>
    <w:rsid w:val="7DC46119"/>
    <w:rsid w:val="7DC720AD"/>
    <w:rsid w:val="7DCC321F"/>
    <w:rsid w:val="7DDC7906"/>
    <w:rsid w:val="7DE21B86"/>
    <w:rsid w:val="7DEF684F"/>
    <w:rsid w:val="7DF00B43"/>
    <w:rsid w:val="7DFA791B"/>
    <w:rsid w:val="7E503E50"/>
    <w:rsid w:val="7E5A5DA1"/>
    <w:rsid w:val="7E6F5FE6"/>
    <w:rsid w:val="7E7A3F89"/>
    <w:rsid w:val="7E806AAD"/>
    <w:rsid w:val="7E862216"/>
    <w:rsid w:val="7E906943"/>
    <w:rsid w:val="7E984F6A"/>
    <w:rsid w:val="7E9E696A"/>
    <w:rsid w:val="7EA335E7"/>
    <w:rsid w:val="7EAA3560"/>
    <w:rsid w:val="7EB51DE9"/>
    <w:rsid w:val="7EC21F19"/>
    <w:rsid w:val="7ECC0CF3"/>
    <w:rsid w:val="7ECD6A28"/>
    <w:rsid w:val="7EE10C7A"/>
    <w:rsid w:val="7EE84089"/>
    <w:rsid w:val="7EF77415"/>
    <w:rsid w:val="7F0C2F67"/>
    <w:rsid w:val="7F1205F3"/>
    <w:rsid w:val="7F1C3D32"/>
    <w:rsid w:val="7F1F76EA"/>
    <w:rsid w:val="7F3E578D"/>
    <w:rsid w:val="7F3F2127"/>
    <w:rsid w:val="7F511C2E"/>
    <w:rsid w:val="7F547171"/>
    <w:rsid w:val="7F6B574A"/>
    <w:rsid w:val="7F6F2C44"/>
    <w:rsid w:val="7F8244DD"/>
    <w:rsid w:val="7F82628B"/>
    <w:rsid w:val="7F831D8B"/>
    <w:rsid w:val="7F886A2B"/>
    <w:rsid w:val="7F8D7E04"/>
    <w:rsid w:val="7F8E2AEC"/>
    <w:rsid w:val="7F8F261D"/>
    <w:rsid w:val="7F9B62E2"/>
    <w:rsid w:val="7FAB65E4"/>
    <w:rsid w:val="7FB84310"/>
    <w:rsid w:val="7FC51EBD"/>
    <w:rsid w:val="7FCF3049"/>
    <w:rsid w:val="7FD02953"/>
    <w:rsid w:val="7FE630F3"/>
    <w:rsid w:val="7FE84988"/>
    <w:rsid w:val="7FF10EA8"/>
    <w:rsid w:val="7FFA05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adjustRightInd w:val="0"/>
      <w:snapToGrid w:val="0"/>
      <w:spacing w:after="200" w:afterLines="0"/>
    </w:pPr>
    <w:rPr>
      <w:rFonts w:ascii="Tahoma" w:hAnsi="Tahoma" w:eastAsia="微软雅黑" w:cs="Times New Roman"/>
      <w:sz w:val="22"/>
      <w:szCs w:val="22"/>
      <w:lang w:val="en-US" w:eastAsia="zh-CN" w:bidi="ar-SA"/>
    </w:rPr>
  </w:style>
  <w:style w:type="paragraph" w:styleId="2">
    <w:name w:val="heading 1"/>
    <w:basedOn w:val="1"/>
    <w:next w:val="1"/>
    <w:link w:val="32"/>
    <w:autoRedefine/>
    <w:qFormat/>
    <w:uiPriority w:val="0"/>
    <w:pPr>
      <w:keepNext/>
      <w:keepLines/>
      <w:snapToGrid w:val="0"/>
      <w:spacing w:before="100" w:beforeLines="100" w:beforeAutospacing="0" w:after="50" w:afterLines="50" w:afterAutospacing="0" w:line="360" w:lineRule="auto"/>
      <w:jc w:val="left"/>
      <w:outlineLvl w:val="0"/>
    </w:pPr>
    <w:rPr>
      <w:b/>
      <w:kern w:val="44"/>
      <w:sz w:val="28"/>
    </w:rPr>
  </w:style>
  <w:style w:type="paragraph" w:styleId="3">
    <w:name w:val="heading 3"/>
    <w:basedOn w:val="1"/>
    <w:next w:val="1"/>
    <w:unhideWhenUsed/>
    <w:qFormat/>
    <w:uiPriority w:val="0"/>
    <w:pPr>
      <w:keepNext/>
      <w:keepLines/>
      <w:snapToGrid w:val="0"/>
      <w:spacing w:before="50" w:beforeLines="50" w:beforeAutospacing="0" w:afterAutospacing="0" w:line="360" w:lineRule="auto"/>
      <w:jc w:val="left"/>
      <w:outlineLvl w:val="2"/>
    </w:pPr>
    <w:rPr>
      <w:rFonts w:ascii="Times New Roman" w:hAnsi="Times New Roman"/>
      <w:b/>
      <w:sz w:val="28"/>
    </w:rPr>
  </w:style>
  <w:style w:type="paragraph" w:styleId="4">
    <w:name w:val="heading 4"/>
    <w:basedOn w:val="1"/>
    <w:next w:val="5"/>
    <w:unhideWhenUsed/>
    <w:qFormat/>
    <w:uiPriority w:val="0"/>
    <w:pPr>
      <w:keepNext/>
      <w:keepLines/>
      <w:spacing w:before="20" w:beforeLines="20" w:after="20" w:afterLines="20" w:line="375" w:lineRule="auto"/>
      <w:outlineLvl w:val="3"/>
    </w:pPr>
    <w:rPr>
      <w:rFonts w:ascii="Times New Roman" w:hAnsi="Times New Roman" w:eastAsia="宋体" w:cs="Times New Roman"/>
      <w:b/>
      <w:bCs/>
      <w:szCs w:val="28"/>
    </w:rPr>
  </w:style>
  <w:style w:type="character" w:default="1" w:styleId="19">
    <w:name w:val="Default Paragraph Font"/>
    <w:semiHidden/>
    <w:qFormat/>
    <w:uiPriority w:val="0"/>
  </w:style>
  <w:style w:type="table" w:default="1" w:styleId="17">
    <w:name w:val="Normal Table"/>
    <w:semiHidden/>
    <w:qFormat/>
    <w:uiPriority w:val="0"/>
    <w:tblPr>
      <w:tblCellMar>
        <w:top w:w="0" w:type="dxa"/>
        <w:left w:w="108" w:type="dxa"/>
        <w:bottom w:w="0" w:type="dxa"/>
        <w:right w:w="108" w:type="dxa"/>
      </w:tblCellMar>
    </w:tblPr>
  </w:style>
  <w:style w:type="paragraph" w:styleId="5">
    <w:name w:val="Normal Indent"/>
    <w:basedOn w:val="1"/>
    <w:next w:val="1"/>
    <w:autoRedefine/>
    <w:qFormat/>
    <w:uiPriority w:val="0"/>
    <w:rPr>
      <w:kern w:val="2"/>
      <w:sz w:val="28"/>
    </w:rPr>
  </w:style>
  <w:style w:type="paragraph" w:styleId="6">
    <w:name w:val="Note Heading"/>
    <w:basedOn w:val="1"/>
    <w:next w:val="1"/>
    <w:qFormat/>
    <w:uiPriority w:val="0"/>
    <w:pPr>
      <w:jc w:val="center"/>
    </w:pPr>
  </w:style>
  <w:style w:type="paragraph" w:styleId="7">
    <w:name w:val="annotation text"/>
    <w:basedOn w:val="1"/>
    <w:qFormat/>
    <w:uiPriority w:val="0"/>
    <w:pPr>
      <w:jc w:val="left"/>
    </w:pPr>
  </w:style>
  <w:style w:type="paragraph" w:styleId="8">
    <w:name w:val="Body Text"/>
    <w:basedOn w:val="1"/>
    <w:qFormat/>
    <w:uiPriority w:val="0"/>
    <w:pPr>
      <w:widowControl w:val="0"/>
      <w:adjustRightInd/>
      <w:snapToGrid/>
      <w:spacing w:after="120"/>
      <w:jc w:val="both"/>
    </w:pPr>
    <w:rPr>
      <w:rFonts w:ascii="Calibri" w:hAnsi="Calibri" w:eastAsia="宋体"/>
      <w:sz w:val="20"/>
      <w:szCs w:val="20"/>
    </w:rPr>
  </w:style>
  <w:style w:type="paragraph" w:styleId="9">
    <w:name w:val="Body Text Indent"/>
    <w:basedOn w:val="1"/>
    <w:next w:val="8"/>
    <w:autoRedefine/>
    <w:qFormat/>
    <w:uiPriority w:val="0"/>
    <w:pPr>
      <w:spacing w:after="120"/>
      <w:ind w:left="420" w:leftChars="200"/>
    </w:pPr>
    <w:rPr>
      <w:kern w:val="0"/>
      <w:sz w:val="24"/>
      <w:szCs w:val="20"/>
    </w:rPr>
  </w:style>
  <w:style w:type="paragraph" w:styleId="10">
    <w:name w:val="Block Text"/>
    <w:basedOn w:val="1"/>
    <w:qFormat/>
    <w:uiPriority w:val="0"/>
    <w:pPr>
      <w:spacing w:beforeAutospacing="0" w:after="120" w:afterAutospacing="0"/>
      <w:ind w:left="700" w:leftChars="700" w:right="700" w:rightChars="700"/>
    </w:pPr>
  </w:style>
  <w:style w:type="paragraph" w:styleId="11">
    <w:name w:val="Plain Text"/>
    <w:basedOn w:val="1"/>
    <w:qFormat/>
    <w:uiPriority w:val="0"/>
    <w:rPr>
      <w:rFonts w:ascii="宋体" w:hAnsi="Courier New"/>
    </w:rPr>
  </w:style>
  <w:style w:type="paragraph" w:styleId="12">
    <w:name w:val="footer"/>
    <w:basedOn w:val="1"/>
    <w:qFormat/>
    <w:uiPriority w:val="0"/>
    <w:pPr>
      <w:tabs>
        <w:tab w:val="center" w:pos="4153"/>
        <w:tab w:val="right" w:pos="8306"/>
      </w:tabs>
    </w:pPr>
    <w:rPr>
      <w:rFonts w:ascii="Tahoma" w:hAnsi="Tahoma"/>
      <w:sz w:val="18"/>
      <w:szCs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Normal (Web)"/>
    <w:basedOn w:val="1"/>
    <w:autoRedefine/>
    <w:qFormat/>
    <w:uiPriority w:val="0"/>
    <w:pPr>
      <w:widowControl/>
      <w:spacing w:before="100" w:beforeLines="0" w:beforeAutospacing="1" w:after="100" w:afterLines="0" w:afterAutospacing="1"/>
      <w:jc w:val="left"/>
    </w:pPr>
    <w:rPr>
      <w:rFonts w:ascii="宋体" w:hAnsi="宋体"/>
      <w:kern w:val="0"/>
      <w:sz w:val="24"/>
    </w:rPr>
  </w:style>
  <w:style w:type="paragraph" w:styleId="15">
    <w:name w:val="Body Text First Indent"/>
    <w:basedOn w:val="8"/>
    <w:next w:val="1"/>
    <w:semiHidden/>
    <w:qFormat/>
    <w:uiPriority w:val="0"/>
    <w:pPr>
      <w:ind w:firstLine="420" w:firstLineChars="100"/>
    </w:pPr>
  </w:style>
  <w:style w:type="paragraph" w:styleId="16">
    <w:name w:val="Body Text First Indent 2"/>
    <w:basedOn w:val="1"/>
    <w:next w:val="1"/>
    <w:qFormat/>
    <w:uiPriority w:val="0"/>
    <w:pPr>
      <w:spacing w:after="120"/>
      <w:ind w:left="420" w:leftChars="200" w:firstLine="420"/>
    </w:pPr>
    <w:rPr>
      <w:rFonts w:ascii="Times New Roman" w:hAnsi="Times New Roman" w:eastAsia="宋体"/>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22"/>
    <w:rPr>
      <w:b/>
      <w:bCs/>
    </w:rPr>
  </w:style>
  <w:style w:type="character" w:styleId="21">
    <w:name w:val="annotation reference"/>
    <w:semiHidden/>
    <w:qFormat/>
    <w:uiPriority w:val="0"/>
    <w:rPr>
      <w:sz w:val="21"/>
    </w:rPr>
  </w:style>
  <w:style w:type="paragraph" w:customStyle="1" w:styleId="22">
    <w:name w:val="Default"/>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3">
    <w:name w:val="Table Paragraph"/>
    <w:basedOn w:val="1"/>
    <w:qFormat/>
    <w:uiPriority w:val="1"/>
    <w:pPr>
      <w:jc w:val="center"/>
    </w:pPr>
    <w:rPr>
      <w:rFonts w:ascii="宋体" w:hAnsi="宋体" w:eastAsia="宋体" w:cs="宋体"/>
      <w:lang w:val="zh-CN" w:eastAsia="zh-CN" w:bidi="zh-CN"/>
    </w:rPr>
  </w:style>
  <w:style w:type="paragraph" w:customStyle="1" w:styleId="24">
    <w:name w:val="我的表格文字"/>
    <w:basedOn w:val="1"/>
    <w:qFormat/>
    <w:uiPriority w:val="0"/>
    <w:pPr>
      <w:jc w:val="center"/>
    </w:pPr>
    <w:rPr>
      <w:rFonts w:hAnsi="宋体" w:eastAsia="Times New Roman" w:cs="宋体"/>
      <w:color w:val="000000"/>
      <w:szCs w:val="21"/>
    </w:rPr>
  </w:style>
  <w:style w:type="character" w:customStyle="1" w:styleId="25">
    <w:name w:val="报告表正文 Char1"/>
    <w:autoRedefine/>
    <w:qFormat/>
    <w:uiPriority w:val="0"/>
    <w:rPr>
      <w:rFonts w:eastAsia="楷体_GB2312"/>
      <w:kern w:val="2"/>
      <w:sz w:val="24"/>
      <w:szCs w:val="24"/>
      <w:lang w:val="en-US" w:eastAsia="zh-CN" w:bidi="ar-SA"/>
    </w:rPr>
  </w:style>
  <w:style w:type="paragraph" w:customStyle="1" w:styleId="26">
    <w:name w:val="中文报告书样式"/>
    <w:basedOn w:val="1"/>
    <w:qFormat/>
    <w:uiPriority w:val="0"/>
    <w:pPr>
      <w:adjustRightInd w:val="0"/>
      <w:spacing w:line="480" w:lineRule="atLeast"/>
      <w:ind w:firstLine="482"/>
      <w:textAlignment w:val="baseline"/>
    </w:pPr>
    <w:rPr>
      <w:kern w:val="24"/>
      <w:sz w:val="24"/>
    </w:rPr>
  </w:style>
  <w:style w:type="paragraph" w:customStyle="1" w:styleId="27">
    <w:name w:val="p0"/>
    <w:basedOn w:val="1"/>
    <w:autoRedefine/>
    <w:qFormat/>
    <w:uiPriority w:val="0"/>
    <w:pPr>
      <w:widowControl/>
    </w:pPr>
    <w:rPr>
      <w:rFonts w:hint="eastAsia"/>
    </w:rPr>
  </w:style>
  <w:style w:type="paragraph" w:customStyle="1" w:styleId="28">
    <w:name w:val="列出段落"/>
    <w:basedOn w:val="1"/>
    <w:autoRedefine/>
    <w:qFormat/>
    <w:uiPriority w:val="0"/>
    <w:pPr>
      <w:widowControl w:val="0"/>
      <w:adjustRightInd/>
      <w:snapToGrid/>
      <w:spacing w:after="0" w:afterLines="0"/>
      <w:ind w:firstLine="420" w:firstLineChars="200"/>
      <w:jc w:val="both"/>
    </w:pPr>
    <w:rPr>
      <w:rFonts w:ascii="Times New Roman" w:hAnsi="Times New Roman" w:eastAsia="宋体"/>
      <w:kern w:val="2"/>
      <w:sz w:val="21"/>
      <w:szCs w:val="20"/>
    </w:rPr>
  </w:style>
  <w:style w:type="character" w:customStyle="1" w:styleId="29">
    <w:name w:val="font21"/>
    <w:basedOn w:val="19"/>
    <w:qFormat/>
    <w:uiPriority w:val="0"/>
    <w:rPr>
      <w:rFonts w:hint="eastAsia" w:ascii="宋体" w:hAnsi="宋体" w:eastAsia="宋体" w:cs="宋体"/>
      <w:color w:val="000000"/>
      <w:sz w:val="24"/>
      <w:szCs w:val="24"/>
      <w:u w:val="none"/>
    </w:rPr>
  </w:style>
  <w:style w:type="character" w:customStyle="1" w:styleId="30">
    <w:name w:val="font31"/>
    <w:basedOn w:val="19"/>
    <w:qFormat/>
    <w:uiPriority w:val="0"/>
    <w:rPr>
      <w:rFonts w:hint="eastAsia" w:ascii="宋体" w:hAnsi="宋体" w:eastAsia="宋体" w:cs="宋体"/>
      <w:color w:val="000000"/>
      <w:sz w:val="22"/>
      <w:szCs w:val="22"/>
      <w:u w:val="none"/>
    </w:rPr>
  </w:style>
  <w:style w:type="paragraph" w:customStyle="1" w:styleId="31">
    <w:name w:val="三同时样式"/>
    <w:basedOn w:val="1"/>
    <w:qFormat/>
    <w:uiPriority w:val="0"/>
    <w:pPr>
      <w:spacing w:line="240" w:lineRule="auto"/>
      <w:ind w:firstLine="0" w:firstLineChars="0"/>
      <w:jc w:val="center"/>
    </w:pPr>
    <w:rPr>
      <w:b/>
      <w:sz w:val="18"/>
      <w:szCs w:val="18"/>
    </w:rPr>
  </w:style>
  <w:style w:type="character" w:customStyle="1" w:styleId="32">
    <w:name w:val="标题 1 Char"/>
    <w:link w:val="2"/>
    <w:qFormat/>
    <w:uiPriority w:val="0"/>
    <w:rPr>
      <w:b/>
      <w:kern w:val="44"/>
      <w:sz w:val="28"/>
    </w:rPr>
  </w:style>
  <w:style w:type="paragraph" w:customStyle="1" w:styleId="33">
    <w:name w:val="列表段落"/>
    <w:basedOn w:val="1"/>
    <w:qFormat/>
    <w:uiPriority w:val="0"/>
    <w:pPr>
      <w:ind w:firstLine="420" w:firstLineChars="200"/>
    </w:pPr>
    <w:rPr>
      <w:rFonts w:ascii="Calibri" w:hAnsi="Calibri" w:eastAsia="宋体" w:cs="宋体"/>
      <w:szCs w:val="21"/>
    </w:rPr>
  </w:style>
  <w:style w:type="character" w:customStyle="1" w:styleId="34">
    <w:name w:val="17"/>
    <w:basedOn w:val="19"/>
    <w:qFormat/>
    <w:uiPriority w:val="0"/>
    <w:rPr>
      <w:rFonts w:hint="default" w:ascii="Times New Roman" w:hAnsi="Times New Roman" w:cs="Times New Roman"/>
      <w:color w:val="000000"/>
      <w:sz w:val="22"/>
      <w:szCs w:val="22"/>
      <w:vertAlign w:val="superscript"/>
    </w:rPr>
  </w:style>
  <w:style w:type="paragraph" w:customStyle="1" w:styleId="35">
    <w:name w:val=" Char Char1 Char"/>
    <w:basedOn w:val="1"/>
    <w:qFormat/>
    <w:uiPriority w:val="0"/>
    <w:pPr>
      <w:spacing w:line="360" w:lineRule="auto"/>
      <w:ind w:firstLine="200" w:firstLineChars="200"/>
    </w:pPr>
    <w:rPr>
      <w:rFonts w:ascii="宋体" w:hAnsi="宋体" w:cs="宋体"/>
      <w:szCs w:val="24"/>
    </w:rPr>
  </w:style>
  <w:style w:type="paragraph" w:customStyle="1" w:styleId="36">
    <w:name w:val="表格"/>
    <w:basedOn w:val="1"/>
    <w:qFormat/>
    <w:uiPriority w:val="0"/>
    <w:pPr>
      <w:keepNext/>
      <w:adjustRightInd w:val="0"/>
      <w:spacing w:line="312" w:lineRule="atLeast"/>
      <w:jc w:val="center"/>
      <w:textAlignment w:val="baseline"/>
    </w:pPr>
    <w:rPr>
      <w:kern w:val="0"/>
    </w:rPr>
  </w:style>
  <w:style w:type="character" w:customStyle="1" w:styleId="37">
    <w:name w:val="15"/>
    <w:basedOn w:val="19"/>
    <w:qFormat/>
    <w:uiPriority w:val="0"/>
    <w:rPr>
      <w:rFonts w:hint="eastAsia" w:ascii="宋体" w:hAnsi="宋体" w:eastAsia="宋体" w:cs="宋体"/>
      <w:color w:val="000000"/>
      <w:sz w:val="20"/>
      <w:szCs w:val="20"/>
    </w:rPr>
  </w:style>
  <w:style w:type="character" w:customStyle="1" w:styleId="38">
    <w:name w:val="16"/>
    <w:basedOn w:val="19"/>
    <w:qFormat/>
    <w:uiPriority w:val="0"/>
    <w:rPr>
      <w:rFonts w:hint="default" w:ascii="Times New Roman" w:hAnsi="Times New Roman" w:cs="Times New Roman"/>
      <w:color w:val="000000"/>
      <w:sz w:val="20"/>
      <w:szCs w:val="20"/>
    </w:rPr>
  </w:style>
  <w:style w:type="character" w:customStyle="1" w:styleId="39">
    <w:name w:val="18"/>
    <w:basedOn w:val="19"/>
    <w:qFormat/>
    <w:uiPriority w:val="0"/>
    <w:rPr>
      <w:rFonts w:hint="default" w:ascii="Times New Roman" w:hAnsi="Times New Roman" w:cs="Times New Roman"/>
      <w:color w:val="000000"/>
      <w:sz w:val="20"/>
      <w:szCs w:val="20"/>
    </w:rPr>
  </w:style>
  <w:style w:type="character" w:customStyle="1" w:styleId="40">
    <w:name w:val="21"/>
    <w:basedOn w:val="19"/>
    <w:qFormat/>
    <w:uiPriority w:val="0"/>
    <w:rPr>
      <w:rFonts w:hint="default" w:ascii="Times New Roman" w:hAnsi="Times New Roman" w:cs="Times New Roman"/>
      <w:color w:val="000000"/>
      <w:sz w:val="21"/>
      <w:szCs w:val="21"/>
    </w:rPr>
  </w:style>
  <w:style w:type="character" w:customStyle="1" w:styleId="41">
    <w:name w:val="19"/>
    <w:basedOn w:val="19"/>
    <w:qFormat/>
    <w:uiPriority w:val="0"/>
    <w:rPr>
      <w:rFonts w:hint="default" w:ascii="Times New Roman" w:hAnsi="Times New Roman" w:cs="Times New Roman"/>
      <w:color w:val="000000"/>
      <w:sz w:val="20"/>
      <w:szCs w:val="20"/>
    </w:rPr>
  </w:style>
  <w:style w:type="paragraph" w:customStyle="1" w:styleId="42">
    <w:name w:val="表内格式"/>
    <w:basedOn w:val="1"/>
    <w:qFormat/>
    <w:uiPriority w:val="0"/>
    <w:pPr>
      <w:spacing w:line="240" w:lineRule="exact"/>
      <w:jc w:val="center"/>
    </w:pPr>
    <w:rPr>
      <w:rFonts w:ascii="宋体" w:hAnsi="宋体"/>
      <w:sz w:val="21"/>
    </w:rPr>
  </w:style>
  <w:style w:type="paragraph" w:customStyle="1" w:styleId="43">
    <w:name w:val="报告表正文"/>
    <w:basedOn w:val="1"/>
    <w:qFormat/>
    <w:uiPriority w:val="0"/>
    <w:pPr>
      <w:adjustRightInd w:val="0"/>
      <w:spacing w:line="312" w:lineRule="auto"/>
      <w:ind w:left="113" w:right="113" w:firstLine="482"/>
      <w:jc w:val="left"/>
      <w:textAlignment w:val="baseline"/>
    </w:pPr>
    <w:rPr>
      <w:kern w:val="0"/>
      <w:sz w:val="24"/>
    </w:rPr>
  </w:style>
  <w:style w:type="paragraph" w:customStyle="1" w:styleId="44">
    <w:name w:val="正文1"/>
    <w:basedOn w:val="1"/>
    <w:qFormat/>
    <w:uiPriority w:val="0"/>
    <w:pPr>
      <w:ind w:firstLine="552"/>
    </w:pPr>
    <w:rPr>
      <w:rFonts w:ascii="楷体_GB2312" w:eastAsia="楷体_GB2312"/>
      <w:b/>
    </w:rPr>
  </w:style>
  <w:style w:type="character" w:customStyle="1" w:styleId="45">
    <w:name w:val="22"/>
    <w:basedOn w:val="19"/>
    <w:qFormat/>
    <w:uiPriority w:val="0"/>
    <w:rPr>
      <w:rFonts w:hint="default" w:ascii="Times New Roman" w:hAnsi="Times New Roman" w:cs="Times New Roman"/>
      <w:color w:val="000000"/>
      <w:sz w:val="21"/>
      <w:szCs w:val="21"/>
    </w:rPr>
  </w:style>
  <w:style w:type="paragraph" w:customStyle="1" w:styleId="46">
    <w:name w:val="表格文字"/>
    <w:basedOn w:val="1"/>
    <w:qFormat/>
    <w:uiPriority w:val="0"/>
    <w:pPr>
      <w:adjustRightInd w:val="0"/>
      <w:spacing w:line="400" w:lineRule="atLeast"/>
      <w:jc w:val="center"/>
    </w:pPr>
    <w:rPr>
      <w:kern w:val="24"/>
      <w:sz w:val="24"/>
    </w:rPr>
  </w:style>
  <w:style w:type="paragraph" w:customStyle="1" w:styleId="47">
    <w:name w:val="Center24"/>
    <w:basedOn w:val="1"/>
    <w:next w:val="1"/>
    <w:autoRedefine/>
    <w:qFormat/>
    <w:uiPriority w:val="0"/>
    <w:pPr>
      <w:jc w:val="center"/>
    </w:pPr>
    <w:rPr>
      <w:sz w:val="24"/>
      <w:szCs w:val="24"/>
    </w:rPr>
  </w:style>
  <w:style w:type="character" w:customStyle="1" w:styleId="48">
    <w:name w:val="fontstyle01"/>
    <w:qFormat/>
    <w:uiPriority w:val="0"/>
    <w:rPr>
      <w:rFonts w:ascii="宋体" w:hAnsi="宋体" w:eastAsia="宋体" w:cs="宋体"/>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1.jpe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48</Pages>
  <Words>9754</Words>
  <Characters>12184</Characters>
  <Lines>0</Lines>
  <Paragraphs>0</Paragraphs>
  <TotalTime>0</TotalTime>
  <ScaleCrop>false</ScaleCrop>
  <LinksUpToDate>false</LinksUpToDate>
  <CharactersWithSpaces>12398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2022-03-24T02:04:00Z</dcterms:created>
  <dc:creator>Administrator</dc:creator>
  <cp:lastModifiedBy></cp:lastModifiedBy>
  <cp:lastPrinted>2023-10-16T01:37:00Z</cp:lastPrinted>
  <dcterms:modified xsi:type="dcterms:W3CDTF">2025-09-13T03:33:45Z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D8931FA75FA64538A86FDC1E1B357EA2</vt:lpwstr>
  </property>
  <property fmtid="{D5CDD505-2E9C-101B-9397-08002B2CF9AE}" pid="4" name="KSOTemplateDocerSaveRecord">
    <vt:lpwstr>eyJoZGlkIjoiNTU1ZWIyN2FjZjMwYzQwMGZiMjhiMTBkZTQxOTBkOTIiLCJ1c2VySWQiOiI0MzA5MzAwMDcifQ==</vt:lpwstr>
  </property>
</Properties>
</file>