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河南省景康医疗器械有限公司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年产1.8万件Ⅰ、Ⅱ类医用卫生材料项目（一期）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default" w:ascii="Times New Roman" w:hAnsi="Times New Roman" w:eastAsia="宋体" w:cs="Times New Roman"/>
          <w:b/>
          <w:bCs/>
          <w:color w:val="auto"/>
          <w:kern w:val="2"/>
          <w:sz w:val="36"/>
          <w:szCs w:val="36"/>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rPr>
          <w:rFonts w:hint="default"/>
        </w:rPr>
      </w:pPr>
    </w:p>
    <w:p>
      <w:pPr>
        <w:jc w:val="center"/>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建设单位：河南省景康医疗器械有限公司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编制单位：河南省</w:t>
      </w:r>
      <w:r>
        <w:rPr>
          <w:rFonts w:hint="eastAsia" w:ascii="Times New Roman" w:hAnsi="Times New Roman" w:cs="Times New Roman" w:eastAsiaTheme="minorEastAsia"/>
          <w:b w:val="0"/>
          <w:bCs w:val="0"/>
          <w:color w:val="auto"/>
          <w:kern w:val="2"/>
          <w:sz w:val="28"/>
          <w:szCs w:val="28"/>
          <w:u w:val="none"/>
          <w:lang w:val="en-US" w:eastAsia="zh-CN"/>
        </w:rPr>
        <w:t>景康</w:t>
      </w:r>
      <w:r>
        <w:rPr>
          <w:rFonts w:hint="default" w:ascii="Times New Roman" w:hAnsi="Times New Roman" w:cs="Times New Roman" w:eastAsiaTheme="minorEastAsia"/>
          <w:b w:val="0"/>
          <w:bCs w:val="0"/>
          <w:color w:val="auto"/>
          <w:kern w:val="2"/>
          <w:sz w:val="28"/>
          <w:szCs w:val="28"/>
          <w:u w:val="none"/>
          <w:lang w:val="en-US" w:eastAsia="zh-CN"/>
        </w:rPr>
        <w:t>医疗器械有限公司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22</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ascii="Times New Roman" w:hAnsi="Times New Roman" w:cs="Times New Roman" w:eastAsiaTheme="minorEastAsia"/>
          <w:b w:val="0"/>
          <w:bCs w:val="0"/>
          <w:color w:val="auto"/>
          <w:kern w:val="2"/>
          <w:sz w:val="28"/>
          <w:szCs w:val="28"/>
          <w:u w:val="none"/>
          <w:lang w:val="en-US" w:eastAsia="zh-CN"/>
        </w:rPr>
        <w:t>9</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建设单位：河南省景康医疗器械有限公司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法人代表：王凤香</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联系方式：15036001999</w:t>
      </w:r>
    </w:p>
    <w:p>
      <w:pPr>
        <w:keepNext w:val="0"/>
        <w:keepLines w:val="0"/>
        <w:pageBreakBefore w:val="0"/>
        <w:widowControl/>
        <w:kinsoku/>
        <w:wordWrap/>
        <w:overflowPunct/>
        <w:topLinePunct w:val="0"/>
        <w:autoSpaceDE/>
        <w:autoSpaceDN/>
        <w:bidi w:val="0"/>
        <w:adjustRightInd w:val="0"/>
        <w:snapToGrid w:val="0"/>
        <w:spacing w:line="520" w:lineRule="exact"/>
        <w:ind w:left="1400" w:hanging="1400" w:hangingChars="500"/>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地    址：长垣市满村镇省道308线西大杨楼以南</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监测单位：河南</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鼎晟</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instrText xml:space="preserve"> HYPERLINK "https://www.tianyancha.com/human/2225563825-c3411703773" \o "郭晓静" \t "https://www.tianyancha.com/company/_blank" </w:instrTex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郭晓静</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eastAsia" w:ascii="Times New Roman" w:hAnsi="Times New Roman" w:cs="Times New Roman" w:eastAsiaTheme="minorEastAsia"/>
          <w:b w:val="0"/>
          <w:bCs w:val="0"/>
          <w:color w:val="auto"/>
          <w:kern w:val="2"/>
          <w:sz w:val="28"/>
          <w:szCs w:val="28"/>
          <w:lang w:val="en-US" w:eastAsia="zh-CN"/>
        </w:rPr>
        <w:t>18037982811</w:t>
      </w:r>
    </w:p>
    <w:p>
      <w:pPr>
        <w:rPr>
          <w:rFonts w:hint="default" w:ascii="Times New Roman" w:hAnsi="Times New Roman" w:cs="Times New Roman" w:eastAsiaTheme="minorEastAsia"/>
          <w:sz w:val="28"/>
          <w:szCs w:val="28"/>
          <w:lang w:val="en-US" w:eastAsia="zh-CN"/>
        </w:rPr>
      </w:pPr>
    </w:p>
    <w:p>
      <w:pPr>
        <w:pStyle w:val="5"/>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编制单位：河南省景康医疗器械有限公司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法人代表：王凤香</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项目负责人：吴月</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联系方式：15036001999</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footerReference r:id="rId3"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cs="Times New Roman" w:eastAsiaTheme="minorEastAsia"/>
          <w:b w:val="0"/>
          <w:bCs w:val="0"/>
          <w:color w:val="auto"/>
          <w:kern w:val="2"/>
          <w:sz w:val="28"/>
          <w:szCs w:val="28"/>
          <w:lang w:val="en-US" w:eastAsia="zh-CN"/>
        </w:rPr>
        <w:t>地    址：长垣市满村镇省道308线西大杨楼以南</w:t>
      </w:r>
    </w:p>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4"/>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1715"/>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年产1.8万件Ⅰ、Ⅱ类医用卫生材料项目</w:t>
            </w:r>
            <w:r>
              <w:rPr>
                <w:rFonts w:hint="eastAsia" w:ascii="Times New Roman" w:hAnsi="Times New Roman" w:cs="Times New Roman" w:eastAsiaTheme="minorEastAsia"/>
                <w:color w:val="auto"/>
                <w:sz w:val="24"/>
                <w:szCs w:val="24"/>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河南省景康医疗器械有限公司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default" w:ascii="Arial" w:hAnsi="Arial" w:cs="Arial"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 xml:space="preserve"> 技改</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长垣市满村镇省道308线西大杨楼以南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卫生材料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021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2022年8月30-31日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长垣县环境保护局（长环审（</w:t>
            </w:r>
            <w:r>
              <w:rPr>
                <w:rFonts w:hint="eastAsia" w:ascii="Times New Roman" w:hAnsi="Times New Roman" w:cs="Times New Roman" w:eastAsiaTheme="minorEastAsia"/>
                <w:color w:val="auto"/>
                <w:sz w:val="24"/>
                <w:szCs w:val="24"/>
                <w:lang w:val="en-US" w:eastAsia="zh-CN"/>
              </w:rPr>
              <w:t>2021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51</w:t>
            </w:r>
            <w:r>
              <w:rPr>
                <w:rFonts w:hint="default" w:ascii="Times New Roman" w:hAnsi="Times New Roman" w:cs="Times New Roman" w:eastAsiaTheme="minorEastAsia"/>
                <w:color w:val="auto"/>
                <w:sz w:val="24"/>
                <w:szCs w:val="24"/>
                <w:lang w:val="en-US" w:eastAsia="zh-CN"/>
              </w:rPr>
              <w:t>号)</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河北景略环境影响评价有限公司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26</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5.2</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26</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5.2</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85" w:hRule="atLeast"/>
          <w:jc w:val="center"/>
        </w:trPr>
        <w:tc>
          <w:tcPr>
            <w:tcW w:w="8946"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i w:val="0"/>
                <w:iCs w:val="0"/>
                <w:sz w:val="24"/>
                <w:lang w:val="en-US" w:eastAsia="zh-CN"/>
              </w:rPr>
              <w:t>河南省景康医疗器械有限公司成立于2016年7月，是一家专业生产医疗器械的企业，2017年3月河南省景康医疗器械有限公司在长垣市满村镇省道308线西大杨楼以南内建设《年产1.3亿支体外循环管生产项目》，并于2017年4月5日取得长垣市环保局批复，批复文号为“长环审[2017]35号”，于2020年7月完成自行验收；建设单位利用现有厂区空闲车间，投资500万元建设年产1.8万件Ⅰ、Ⅱ类医用卫生材料项目，目前本项目一期内容已建设完成，包含无纺布制品、高分子制品、包类及医用眼罩产品的生产，医用PE手套生产线暂未建设</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河北景略环境影响评价有限公司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2021年4月2日</w:t>
            </w:r>
            <w:r>
              <w:rPr>
                <w:rFonts w:hint="default" w:ascii="Times New Roman" w:hAnsi="Times New Roman" w:eastAsia="宋体" w:cs="Times New Roman"/>
                <w:color w:val="auto"/>
                <w:sz w:val="24"/>
                <w:szCs w:val="24"/>
                <w:lang w:val="en-US" w:eastAsia="zh-CN"/>
              </w:rPr>
              <w:t>，获得</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河南省</w:t>
            </w:r>
            <w:r>
              <w:rPr>
                <w:rFonts w:hint="eastAsia" w:ascii="Times New Roman" w:hAnsi="Times New Roman" w:eastAsia="宋体" w:cs="Times New Roman"/>
                <w:i w:val="0"/>
                <w:iCs w:val="0"/>
                <w:sz w:val="24"/>
                <w:lang w:val="en-US" w:eastAsia="zh-CN"/>
              </w:rPr>
              <w:t>景康</w:t>
            </w:r>
            <w:r>
              <w:rPr>
                <w:rFonts w:hint="default" w:ascii="Times New Roman" w:hAnsi="Times New Roman" w:cs="Times New Roman" w:eastAsiaTheme="minorEastAsia"/>
                <w:color w:val="auto"/>
                <w:sz w:val="24"/>
                <w:szCs w:val="24"/>
                <w:lang w:val="en-US" w:eastAsia="zh-CN"/>
              </w:rPr>
              <w:t>医疗器械有限公司</w:t>
            </w:r>
            <w:r>
              <w:rPr>
                <w:rFonts w:hint="default" w:ascii="Times New Roman" w:hAnsi="Times New Roman" w:eastAsia="宋体" w:cs="Times New Roman"/>
                <w:color w:val="auto"/>
                <w:sz w:val="24"/>
                <w:szCs w:val="24"/>
                <w:lang w:val="en-US" w:eastAsia="zh-CN"/>
              </w:rPr>
              <w:t>按照国家有关规范要求，编制完成本项目</w:t>
            </w:r>
            <w:r>
              <w:rPr>
                <w:rFonts w:hint="eastAsia" w:ascii="Times New Roman" w:hAnsi="Times New Roman" w:eastAsia="宋体" w:cs="Times New Roman"/>
                <w:color w:val="auto"/>
                <w:sz w:val="24"/>
                <w:szCs w:val="24"/>
                <w:lang w:val="en-US" w:eastAsia="zh-CN"/>
              </w:rPr>
              <w:t>一期内容</w:t>
            </w:r>
            <w:r>
              <w:rPr>
                <w:rFonts w:hint="default" w:ascii="Times New Roman" w:hAnsi="Times New Roman" w:eastAsia="宋体" w:cs="Times New Roman"/>
                <w:color w:val="auto"/>
                <w:sz w:val="24"/>
                <w:szCs w:val="24"/>
                <w:lang w:val="en-US" w:eastAsia="zh-CN"/>
              </w:rPr>
              <w:t>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15"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99"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（2）《中华人民共和国环境影响评价法》（2018.12.29）；</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（3）《中华人民共和国大气污染防治法》（2018.10.26）；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（4）《中华人民共和国水污染防治法》（2017.6.27）；</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（5）《中华人民共和国固体废物污染环境防治法》(2020.9.1)；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（6）《中华人民共和国环境噪声污染防治法》(2018.12.29)；</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（7）《国家危险废物名录》(2021版)；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（8）《一般工业固体废物贮存、处置场污染控制标准》GB18599-2001（2013年修订）；</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w:t>
            </w:r>
            <w:r>
              <w:rPr>
                <w:rFonts w:hint="eastAsia" w:ascii="Times New Roman" w:hAnsi="Times New Roman" w:eastAsia="宋体" w:cs="Times New Roman"/>
                <w:i w:val="0"/>
                <w:iCs w:val="0"/>
                <w:sz w:val="24"/>
                <w:lang w:val="en-US" w:eastAsia="zh-CN"/>
              </w:rPr>
              <w:t>河南省景康医疗器械有限公司</w:t>
            </w:r>
            <w:r>
              <w:rPr>
                <w:rFonts w:hint="default" w:ascii="Times New Roman" w:hAnsi="Times New Roman" w:cs="Times New Roman" w:eastAsiaTheme="minorEastAsia"/>
                <w:color w:val="auto"/>
                <w:sz w:val="24"/>
                <w:szCs w:val="24"/>
                <w:lang w:val="en-US" w:eastAsia="zh-CN"/>
              </w:rPr>
              <w:t>年产1.8万件Ⅰ、Ⅱ类医用卫生材料项目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河北景略环境影响评价有限公司</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2021</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cs="Times New Roman" w:eastAsiaTheme="minorEastAsia"/>
                <w:sz w:val="24"/>
                <w:szCs w:val="24"/>
                <w:lang w:val="en-US" w:eastAsia="zh-CN"/>
              </w:rPr>
              <w:t>关于《</w:t>
            </w:r>
            <w:r>
              <w:rPr>
                <w:rFonts w:hint="eastAsia" w:ascii="Times New Roman" w:hAnsi="Times New Roman" w:eastAsia="宋体" w:cs="Times New Roman"/>
                <w:i w:val="0"/>
                <w:iCs w:val="0"/>
                <w:sz w:val="24"/>
                <w:lang w:val="en-US" w:eastAsia="zh-CN"/>
              </w:rPr>
              <w:t>河南省景康医疗器械有限公司</w:t>
            </w:r>
            <w:r>
              <w:rPr>
                <w:rFonts w:hint="default" w:ascii="Times New Roman" w:hAnsi="Times New Roman" w:cs="Times New Roman" w:eastAsiaTheme="minorEastAsia"/>
                <w:color w:val="auto"/>
                <w:sz w:val="24"/>
                <w:szCs w:val="24"/>
                <w:lang w:val="en-US" w:eastAsia="zh-CN"/>
              </w:rPr>
              <w:t>年产1.8万件Ⅰ、Ⅱ类医用卫生材料项目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sz w:val="24"/>
                <w:szCs w:val="24"/>
                <w:lang w:val="en-US" w:eastAsia="zh-CN"/>
              </w:rPr>
              <w:t>》的批复（长环审（</w:t>
            </w:r>
            <w:r>
              <w:rPr>
                <w:rFonts w:hint="eastAsia" w:ascii="Times New Roman" w:hAnsi="Times New Roman" w:cs="Times New Roman" w:eastAsiaTheme="minorEastAsia"/>
                <w:sz w:val="24"/>
                <w:szCs w:val="24"/>
                <w:lang w:val="en-US" w:eastAsia="zh-CN"/>
              </w:rPr>
              <w:t>2021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51</w:t>
            </w:r>
            <w:r>
              <w:rPr>
                <w:rFonts w:hint="default" w:ascii="Times New Roman" w:hAnsi="Times New Roman" w:cs="Times New Roman" w:eastAsiaTheme="minorEastAsia"/>
                <w:sz w:val="24"/>
                <w:szCs w:val="24"/>
                <w:lang w:val="en-US" w:eastAsia="zh-CN"/>
              </w:rPr>
              <w:t>号</w:t>
            </w:r>
            <w:r>
              <w:rPr>
                <w:rFonts w:hint="eastAsia" w:ascii="Times New Roman" w:hAnsi="Times New Roman" w:cs="Times New Roman" w:eastAsiaTheme="minorEastAsia"/>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96"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99" w:type="dxa"/>
            <w:gridSpan w:val="5"/>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5"/>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 噪声污染物排放标准</w:t>
            </w:r>
          </w:p>
          <w:tbl>
            <w:tblPr>
              <w:tblStyle w:val="24"/>
              <w:tblW w:w="6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pPr>
                    <w:pStyle w:val="2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pPr>
                    <w:pStyle w:val="29"/>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pacing w:val="-9"/>
                      <w:sz w:val="21"/>
                      <w:szCs w:val="21"/>
                    </w:rPr>
                    <w:t>dB(A)</w:t>
                  </w:r>
                </w:p>
                <w:p>
                  <w:pPr>
                    <w:pStyle w:val="29"/>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dB(A)</w:t>
                  </w:r>
                </w:p>
              </w:tc>
            </w:tr>
            <w:bookmarkEnd w:id="0"/>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废气污染物排放执行标准</w:t>
            </w:r>
          </w:p>
          <w:tbl>
            <w:tblPr>
              <w:tblStyle w:val="24"/>
              <w:tblW w:w="6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434"/>
              <w:gridCol w:w="2743"/>
              <w:gridCol w:w="849"/>
              <w:gridCol w:w="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1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1434"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74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标准名称及级(类)别</w:t>
                  </w:r>
                </w:p>
              </w:tc>
              <w:tc>
                <w:tcPr>
                  <w:tcW w:w="849"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排放速率(kg/h)</w:t>
                  </w:r>
                </w:p>
              </w:tc>
              <w:tc>
                <w:tcPr>
                  <w:tcW w:w="98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jc w:val="center"/>
              </w:trPr>
              <w:tc>
                <w:tcPr>
                  <w:tcW w:w="51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1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74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p>
              </w:tc>
              <w:tc>
                <w:tcPr>
                  <w:tcW w:w="849"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984"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jc w:val="center"/>
              </w:trPr>
              <w:tc>
                <w:tcPr>
                  <w:tcW w:w="51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1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非甲烷总烃</w:t>
                  </w:r>
                </w:p>
              </w:tc>
              <w:tc>
                <w:tcPr>
                  <w:tcW w:w="274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49"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84"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一般固废执行《一般工业固体废物贮存、处置场污染控制标准》GB 18599-2001</w:t>
            </w:r>
            <w:r>
              <w:rPr>
                <w:rFonts w:hint="default" w:ascii="Times New Roman" w:hAnsi="Times New Roman" w:cs="Times New Roman" w:eastAsiaTheme="minorEastAsia"/>
                <w:sz w:val="24"/>
                <w:szCs w:val="24"/>
                <w:lang w:val="en-US" w:eastAsia="zh-CN"/>
              </w:rPr>
              <w:t>（2013年修订）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危险废物执行《危险废物贮存污染控制标准》GB18597- 2001</w:t>
            </w:r>
            <w:r>
              <w:rPr>
                <w:rFonts w:hint="default" w:ascii="Times New Roman" w:hAnsi="Times New Roman" w:cs="Times New Roman" w:eastAsiaTheme="minorEastAsia"/>
                <w:sz w:val="24"/>
                <w:szCs w:val="24"/>
                <w:lang w:val="en-US" w:eastAsia="zh-CN"/>
              </w:rPr>
              <w:t>（2013年修订）</w:t>
            </w:r>
            <w:r>
              <w:rPr>
                <w:rFonts w:hint="eastAsia"/>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4"/>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30"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本项目基本情况表</w:t>
            </w:r>
          </w:p>
          <w:tbl>
            <w:tblPr>
              <w:tblStyle w:val="24"/>
              <w:tblW w:w="85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296"/>
              <w:gridCol w:w="65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年产1.8万件Ⅰ、Ⅱ类医用卫生材料项目</w:t>
                  </w:r>
                  <w:r>
                    <w:rPr>
                      <w:rFonts w:hint="eastAsia" w:ascii="Times New Roman" w:hAnsi="Times New Roman" w:cs="Times New Roman" w:eastAsiaTheme="minorEastAsia"/>
                      <w:sz w:val="21"/>
                      <w:szCs w:val="21"/>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改扩建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长垣市满村镇省道308线西大杨楼以南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23202.91</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新增60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班制 一</w:t>
                  </w:r>
                  <w:r>
                    <w:rPr>
                      <w:rFonts w:hint="eastAsia" w:ascii="Times New Roman" w:hAnsi="Times New Roman" w:cs="Times New Roman" w:eastAsiaTheme="minorEastAsia"/>
                      <w:sz w:val="21"/>
                      <w:szCs w:val="21"/>
                      <w:lang w:val="en-US" w:eastAsia="zh-CN"/>
                    </w:rPr>
                    <w:t>班</w:t>
                  </w:r>
                  <w:r>
                    <w:rPr>
                      <w:rFonts w:hint="default" w:ascii="Times New Roman" w:hAnsi="Times New Roman" w:cs="Times New Roman" w:eastAsiaTheme="minorEastAsia"/>
                      <w:sz w:val="21"/>
                      <w:szCs w:val="21"/>
                      <w:lang w:val="en-US" w:eastAsia="zh-CN"/>
                    </w:rPr>
                    <w:t>8小时，年有效工作日</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4</w:t>
            </w:r>
            <w:r>
              <w:rPr>
                <w:rFonts w:hint="default" w:ascii="Times New Roman" w:hAnsi="Times New Roman" w:cs="Times New Roman" w:eastAsiaTheme="minorEastAsia"/>
                <w:b/>
                <w:bCs/>
                <w:color w:val="auto"/>
                <w:kern w:val="2"/>
                <w:sz w:val="21"/>
                <w:szCs w:val="21"/>
                <w:lang w:val="en-US" w:eastAsia="zh-CN" w:bidi="ar-SA"/>
              </w:rPr>
              <w:t xml:space="preserve"> 项目实际建设情况一览表</w:t>
            </w:r>
          </w:p>
          <w:tbl>
            <w:tblPr>
              <w:tblStyle w:val="24"/>
              <w:tblW w:w="871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8"/>
              <w:gridCol w:w="1422"/>
              <w:gridCol w:w="2578"/>
              <w:gridCol w:w="2543"/>
              <w:gridCol w:w="1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实际建设内容</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6" w:hRule="atLeast"/>
                <w:jc w:val="center"/>
              </w:trPr>
              <w:tc>
                <w:tcPr>
                  <w:tcW w:w="10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4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color w:val="000000"/>
                      <w:kern w:val="0"/>
                      <w:sz w:val="21"/>
                      <w:szCs w:val="21"/>
                      <w:lang w:val="en-US" w:eastAsia="zh-CN"/>
                    </w:rPr>
                    <w:t>1#厂房</w:t>
                  </w:r>
                </w:p>
              </w:tc>
              <w:tc>
                <w:tcPr>
                  <w:tcW w:w="257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15000m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，3层，钢结构</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15000m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，3层，钢结构</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4" w:hRule="atLeast"/>
                <w:jc w:val="center"/>
              </w:trPr>
              <w:tc>
                <w:tcPr>
                  <w:tcW w:w="108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142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废气处理</w:t>
                  </w:r>
                </w:p>
              </w:tc>
              <w:tc>
                <w:tcPr>
                  <w:tcW w:w="2578"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灭菌解析：废气经集气管道收集后采用“碘值800活性炭吸附+15m高排气筒</w:t>
                  </w:r>
                </w:p>
              </w:tc>
              <w:tc>
                <w:tcPr>
                  <w:tcW w:w="254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废气经集气管道收集后采用“水吸收+碘值800活性炭吸附+15m高排气筒</w:t>
                  </w:r>
                </w:p>
              </w:tc>
              <w:tc>
                <w:tcPr>
                  <w:tcW w:w="1079"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新增水吸收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142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578" w:type="dxa"/>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宋体"/>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注塑/挤出/拉管/封口：注塑机/挤出机出气口上方设置抽风装置，废气经收集后引至“UV光催化+活性炭吸附+15m高排气筒”</w:t>
                  </w:r>
                </w:p>
              </w:tc>
              <w:tc>
                <w:tcPr>
                  <w:tcW w:w="2543"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注塑/挤出/拉管/封口：注塑机/挤出机出气口上方设置抽风装置，废气经收集后引至“UV光催化+活性炭吸附+15m高排气筒”</w:t>
                  </w:r>
                </w:p>
              </w:tc>
              <w:tc>
                <w:tcPr>
                  <w:tcW w:w="1079"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142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578" w:type="dxa"/>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23"/>
                      <w:rFonts w:hint="eastAsia" w:ascii="Times New Roman" w:hAnsi="Times New Roman" w:eastAsia="宋体" w:cs="Times New Roman"/>
                      <w:b w:val="0"/>
                      <w:bCs w:val="0"/>
                      <w:color w:val="auto"/>
                      <w:sz w:val="21"/>
                      <w:szCs w:val="21"/>
                      <w:u w:val="none"/>
                      <w:lang w:val="en-US" w:eastAsia="zh-CN"/>
                    </w:rPr>
                  </w:pPr>
                  <w:r>
                    <w:rPr>
                      <w:rStyle w:val="23"/>
                      <w:rFonts w:hint="eastAsia" w:ascii="Times New Roman" w:hAnsi="Times New Roman" w:eastAsia="宋体" w:cs="Times New Roman"/>
                      <w:b w:val="0"/>
                      <w:bCs w:val="0"/>
                      <w:color w:val="auto"/>
                      <w:sz w:val="21"/>
                      <w:szCs w:val="21"/>
                      <w:u w:val="none"/>
                      <w:lang w:val="en-US" w:eastAsia="zh-CN"/>
                    </w:rPr>
                    <w:t>PE手套工序废气：吹膜机和手套加工机上方出气口设置二次密闭集气装置，废气经收集后引至一套“UV光催化+活性炭吸附+15m高排气筒</w:t>
                  </w:r>
                </w:p>
              </w:tc>
              <w:tc>
                <w:tcPr>
                  <w:tcW w:w="2543"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b w:val="0"/>
                      <w:bCs w:val="0"/>
                      <w:color w:val="auto"/>
                      <w:sz w:val="21"/>
                      <w:szCs w:val="21"/>
                      <w:u w:val="none"/>
                      <w:lang w:val="en-US" w:eastAsia="zh-CN"/>
                    </w:rPr>
                  </w:pPr>
                  <w:r>
                    <w:rPr>
                      <w:rStyle w:val="23"/>
                      <w:rFonts w:hint="eastAsia" w:ascii="Times New Roman" w:hAnsi="Times New Roman" w:eastAsia="宋体" w:cs="Times New Roman"/>
                      <w:b w:val="0"/>
                      <w:bCs w:val="0"/>
                      <w:color w:val="auto"/>
                      <w:sz w:val="21"/>
                      <w:szCs w:val="21"/>
                      <w:u w:val="none"/>
                      <w:lang w:val="en-US" w:eastAsia="zh-CN"/>
                    </w:rPr>
                    <w:t>未建设</w:t>
                  </w:r>
                </w:p>
              </w:tc>
              <w:tc>
                <w:tcPr>
                  <w:tcW w:w="1079"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废水处理</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生活污水：经化粪池处理后，</w:t>
                  </w:r>
                  <w:r>
                    <w:rPr>
                      <w:rFonts w:hint="default" w:ascii="Times New Roman" w:hAnsi="Times New Roman" w:eastAsia="宋体" w:cs="Times New Roman"/>
                      <w:color w:val="000000"/>
                      <w:kern w:val="0"/>
                      <w:sz w:val="21"/>
                      <w:szCs w:val="21"/>
                    </w:rPr>
                    <w:t>定期清掏用</w:t>
                  </w:r>
                  <w:r>
                    <w:rPr>
                      <w:rFonts w:hint="eastAsia" w:ascii="Times New Roman" w:hAnsi="Times New Roman" w:eastAsia="宋体" w:cs="Times New Roman"/>
                      <w:color w:val="000000"/>
                      <w:kern w:val="0"/>
                      <w:sz w:val="21"/>
                      <w:szCs w:val="21"/>
                      <w:lang w:val="en-US" w:eastAsia="zh-CN"/>
                    </w:rPr>
                    <w:t>于资源化利用</w:t>
                  </w:r>
                  <w:r>
                    <w:rPr>
                      <w:rFonts w:hint="default" w:ascii="Times New Roman" w:hAnsi="Times New Roman" w:eastAsia="宋体" w:cs="Times New Roman"/>
                      <w:color w:val="000000"/>
                      <w:kern w:val="0"/>
                      <w:sz w:val="21"/>
                      <w:szCs w:val="21"/>
                    </w:rPr>
                    <w:t>，不外排</w:t>
                  </w:r>
                </w:p>
              </w:tc>
              <w:tc>
                <w:tcPr>
                  <w:tcW w:w="254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经化粪池处理后，</w:t>
                  </w:r>
                  <w:r>
                    <w:rPr>
                      <w:rFonts w:hint="default" w:ascii="Times New Roman" w:hAnsi="Times New Roman" w:eastAsia="宋体" w:cs="Times New Roman"/>
                      <w:color w:val="000000"/>
                      <w:kern w:val="0"/>
                      <w:sz w:val="21"/>
                      <w:szCs w:val="21"/>
                    </w:rPr>
                    <w:t>定期清掏用</w:t>
                  </w:r>
                  <w:r>
                    <w:rPr>
                      <w:rFonts w:hint="eastAsia" w:ascii="Times New Roman" w:hAnsi="Times New Roman" w:eastAsia="宋体" w:cs="Times New Roman"/>
                      <w:color w:val="000000"/>
                      <w:kern w:val="0"/>
                      <w:sz w:val="21"/>
                      <w:szCs w:val="21"/>
                      <w:lang w:val="en-US" w:eastAsia="zh-CN"/>
                    </w:rPr>
                    <w:t>于资源化利用</w:t>
                  </w:r>
                  <w:r>
                    <w:rPr>
                      <w:rFonts w:hint="default" w:ascii="Times New Roman" w:hAnsi="Times New Roman" w:eastAsia="宋体" w:cs="Times New Roman"/>
                      <w:color w:val="000000"/>
                      <w:kern w:val="0"/>
                      <w:sz w:val="21"/>
                      <w:szCs w:val="21"/>
                    </w:rPr>
                    <w:t>，不外排</w:t>
                  </w:r>
                </w:p>
              </w:tc>
              <w:tc>
                <w:tcPr>
                  <w:tcW w:w="1079"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固废处理</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一般固体废物经分类收集后出售</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一般固废暂存处</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危险废物在危废暂存建暂存后定期交由有资质单位处理</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5</w:t>
            </w:r>
            <w:r>
              <w:rPr>
                <w:rFonts w:hint="default" w:ascii="Times New Roman" w:hAnsi="Times New Roman" w:cs="Times New Roman" w:eastAsiaTheme="minorEastAsia"/>
                <w:b/>
                <w:bCs/>
                <w:color w:val="auto"/>
                <w:kern w:val="2"/>
                <w:sz w:val="21"/>
                <w:szCs w:val="21"/>
                <w:lang w:val="en-US" w:eastAsia="zh-CN" w:bidi="ar-SA"/>
              </w:rPr>
              <w:t xml:space="preserve"> 本工程主要设备情况一览表</w:t>
            </w:r>
            <w:r>
              <w:rPr>
                <w:rFonts w:hint="eastAsia" w:ascii="Times New Roman" w:hAnsi="Times New Roman" w:cs="Times New Roman" w:eastAsiaTheme="minorEastAsia"/>
                <w:b/>
                <w:bCs/>
                <w:color w:val="auto"/>
                <w:kern w:val="2"/>
                <w:sz w:val="21"/>
                <w:szCs w:val="21"/>
                <w:lang w:val="en-US" w:eastAsia="zh-CN" w:bidi="ar-SA"/>
              </w:rPr>
              <w:t>（一期）</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464"/>
              <w:gridCol w:w="1959"/>
              <w:gridCol w:w="1555"/>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序号</w:t>
                  </w:r>
                </w:p>
              </w:tc>
              <w:tc>
                <w:tcPr>
                  <w:tcW w:w="246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设备名称</w:t>
                  </w:r>
                </w:p>
              </w:tc>
              <w:tc>
                <w:tcPr>
                  <w:tcW w:w="1959"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lang w:val="en-US" w:eastAsia="zh-CN"/>
                    </w:rPr>
                    <w:t>环评</w:t>
                  </w:r>
                  <w:r>
                    <w:rPr>
                      <w:rFonts w:hint="default" w:ascii="Times New Roman" w:hAnsi="Times New Roman" w:cs="Times New Roman" w:eastAsiaTheme="minorEastAsia"/>
                      <w:kern w:val="0"/>
                      <w:sz w:val="21"/>
                      <w:szCs w:val="21"/>
                    </w:rPr>
                    <w:t>数量</w:t>
                  </w:r>
                </w:p>
              </w:tc>
              <w:tc>
                <w:tcPr>
                  <w:tcW w:w="155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一期实际数量</w:t>
                  </w:r>
                </w:p>
              </w:tc>
              <w:tc>
                <w:tcPr>
                  <w:tcW w:w="155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1</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eastAsia="zh-CN"/>
                    </w:rPr>
                    <w:t>注塑机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rPr>
                  </w:pPr>
                  <w:r>
                    <w:rPr>
                      <w:rFonts w:hint="default" w:ascii="Times New Roman" w:hAnsi="Times New Roman" w:cs="Times New Roman" w:eastAsiaTheme="minorEastAsia"/>
                      <w:sz w:val="21"/>
                      <w:szCs w:val="21"/>
                      <w:lang w:val="en-US" w:eastAsia="zh-CN"/>
                    </w:rPr>
                    <w:t>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2</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拉管机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3</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一体化全自动体外循环生产线</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4</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口罩机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29</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5</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手术衣机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10</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6</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缝纫机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20</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7</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电裁刀</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8</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锁边机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9</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打孔机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10</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斜切机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11</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纱布分切机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12</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抻布机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13</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搅拌机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14</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绷带机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15</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裁剪机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16</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棉签机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17</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PE检查手套</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18</w:t>
                  </w:r>
                </w:p>
              </w:tc>
              <w:tc>
                <w:tcPr>
                  <w:tcW w:w="2464"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旋转机头吹膜机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19</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棉球机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20</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纱布折叠机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21</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激光打码机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22</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打包机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23</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真空包装机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24</w:t>
                  </w:r>
                </w:p>
              </w:tc>
              <w:tc>
                <w:tcPr>
                  <w:tcW w:w="2464" w:type="dxa"/>
                  <w:vAlign w:val="top"/>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鞋套机</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25</w:t>
                  </w:r>
                </w:p>
              </w:tc>
              <w:tc>
                <w:tcPr>
                  <w:tcW w:w="2464"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制水机组</w:t>
                  </w:r>
                </w:p>
              </w:tc>
              <w:tc>
                <w:tcPr>
                  <w:tcW w:w="1959" w:type="dxa"/>
                  <w:vAlign w:val="center"/>
                </w:tcPr>
                <w:p>
                  <w:pPr>
                    <w:keepNext w:val="0"/>
                    <w:keepLines w:val="0"/>
                    <w:pageBreakBefore w:val="0"/>
                    <w:widowControl/>
                    <w:suppressLineNumbers w:val="0"/>
                    <w:kinsoku/>
                    <w:wordWrap/>
                    <w:overflowPunct/>
                    <w:topLinePunct w:val="0"/>
                    <w:autoSpaceDE/>
                    <w:autoSpaceDN/>
                    <w:bidi w:val="0"/>
                    <w:spacing w:beforeAutospacing="0" w:after="0" w:afterLines="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986"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lang w:val="en-US" w:eastAsia="zh-CN"/>
                    </w:rPr>
                    <w:t>26</w:t>
                  </w:r>
                </w:p>
              </w:tc>
              <w:tc>
                <w:tcPr>
                  <w:tcW w:w="2464"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环氧乙烷灭菌器</w:t>
                  </w:r>
                </w:p>
              </w:tc>
              <w:tc>
                <w:tcPr>
                  <w:tcW w:w="1959"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55"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环保设施环评、实际建设情况一览表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995"/>
              <w:gridCol w:w="2482"/>
              <w:gridCol w:w="2160"/>
              <w:gridCol w:w="1065"/>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48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灭菌解析</w:t>
                  </w:r>
                </w:p>
              </w:tc>
              <w:tc>
                <w:tcPr>
                  <w:tcW w:w="248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灭菌解析：废气经集气管道收集后采用“碘值800活性炭吸附+15m高排气筒</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废气经集气管道收集后采用“水吸收+碘值800活性炭吸附+15m高排气筒</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continue"/>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包装封口</w:t>
                  </w:r>
                </w:p>
              </w:tc>
              <w:tc>
                <w:tcPr>
                  <w:tcW w:w="248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注塑/挤出/拉管/封口：注塑机/挤出机出气口上方设置抽风装置，废气经收集后引至“UV光催化+活性炭吸附+15m高排气筒”</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注塑/挤出/拉管/封口：注塑机/挤出机出气口上方设置抽风装置，废气经收集后引至“UV光催化+活性炭吸附+15m高排气筒”</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continue"/>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b w:val="0"/>
                      <w:bCs w:val="0"/>
                      <w:color w:val="auto"/>
                      <w:sz w:val="21"/>
                      <w:szCs w:val="21"/>
                      <w:u w:val="none"/>
                      <w:lang w:val="en-US" w:eastAsia="zh-CN"/>
                    </w:rPr>
                  </w:pPr>
                  <w:r>
                    <w:rPr>
                      <w:rStyle w:val="23"/>
                      <w:rFonts w:hint="eastAsia" w:ascii="Times New Roman" w:hAnsi="Times New Roman" w:eastAsia="宋体" w:cs="Times New Roman"/>
                      <w:b w:val="0"/>
                      <w:bCs w:val="0"/>
                      <w:color w:val="auto"/>
                      <w:sz w:val="21"/>
                      <w:szCs w:val="21"/>
                      <w:u w:val="none"/>
                      <w:lang w:val="en-US" w:eastAsia="zh-CN"/>
                    </w:rPr>
                    <w:t>PE手套工序废气</w:t>
                  </w:r>
                </w:p>
              </w:tc>
              <w:tc>
                <w:tcPr>
                  <w:tcW w:w="248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23"/>
                      <w:rFonts w:hint="eastAsia" w:ascii="Times New Roman" w:hAnsi="Times New Roman" w:eastAsia="宋体" w:cs="Times New Roman"/>
                      <w:b w:val="0"/>
                      <w:bCs w:val="0"/>
                      <w:color w:val="auto"/>
                      <w:sz w:val="21"/>
                      <w:szCs w:val="21"/>
                      <w:u w:val="none"/>
                      <w:lang w:val="en-US" w:eastAsia="zh-CN"/>
                    </w:rPr>
                  </w:pPr>
                  <w:r>
                    <w:rPr>
                      <w:rStyle w:val="23"/>
                      <w:rFonts w:hint="eastAsia" w:ascii="Times New Roman" w:hAnsi="Times New Roman" w:eastAsia="宋体" w:cs="Times New Roman"/>
                      <w:b w:val="0"/>
                      <w:bCs w:val="0"/>
                      <w:color w:val="auto"/>
                      <w:sz w:val="21"/>
                      <w:szCs w:val="21"/>
                      <w:u w:val="none"/>
                      <w:lang w:val="en-US" w:eastAsia="zh-CN"/>
                    </w:rPr>
                    <w:t>PE手套工序废气：吹膜机和手套加工机上方出气口设置二次密闭集气装置，废气经收集后引至一套“UV光催化+活性炭吸附+15m高排气筒</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b w:val="0"/>
                      <w:bCs w:val="0"/>
                      <w:color w:val="auto"/>
                      <w:sz w:val="21"/>
                      <w:szCs w:val="21"/>
                      <w:u w:val="none"/>
                      <w:lang w:val="en-US" w:eastAsia="zh-CN"/>
                    </w:rPr>
                  </w:pPr>
                  <w:r>
                    <w:rPr>
                      <w:rStyle w:val="23"/>
                      <w:rFonts w:hint="eastAsia" w:ascii="Times New Roman" w:hAnsi="Times New Roman" w:eastAsia="宋体" w:cs="Times New Roman"/>
                      <w:b w:val="0"/>
                      <w:bCs w:val="0"/>
                      <w:color w:val="auto"/>
                      <w:sz w:val="21"/>
                      <w:szCs w:val="21"/>
                      <w:u w:val="none"/>
                      <w:lang w:val="en-US" w:eastAsia="zh-CN"/>
                    </w:rPr>
                    <w:t>未建设</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48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经化粪池处理后，定期清运</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经化粪池处理后，定期清运</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4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收集后出售</w:t>
                  </w:r>
                </w:p>
              </w:tc>
              <w:tc>
                <w:tcPr>
                  <w:tcW w:w="21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一般固废暂存处</w:t>
                  </w:r>
                </w:p>
              </w:tc>
              <w:tc>
                <w:tcPr>
                  <w:tcW w:w="10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14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4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危废间暂存后定期处理</w:t>
                  </w:r>
                </w:p>
              </w:tc>
              <w:tc>
                <w:tcPr>
                  <w:tcW w:w="21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w:t>
                  </w:r>
                </w:p>
              </w:tc>
              <w:tc>
                <w:tcPr>
                  <w:tcW w:w="10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一座</w:t>
                  </w:r>
                </w:p>
              </w:tc>
              <w:tc>
                <w:tcPr>
                  <w:tcW w:w="14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本工程原辅材料及能源消耗情况一览表</w:t>
            </w:r>
            <w:r>
              <w:rPr>
                <w:rFonts w:hint="eastAsia" w:ascii="Times New Roman" w:hAnsi="Times New Roman" w:cs="Times New Roman" w:eastAsiaTheme="minorEastAsia"/>
                <w:b/>
                <w:bCs/>
                <w:color w:val="auto"/>
                <w:kern w:val="2"/>
                <w:sz w:val="21"/>
                <w:szCs w:val="21"/>
                <w:lang w:val="en-US" w:eastAsia="zh-CN" w:bidi="ar-SA"/>
              </w:rPr>
              <w:t>（一期）</w:t>
            </w:r>
          </w:p>
          <w:tbl>
            <w:tblPr>
              <w:tblStyle w:val="24"/>
              <w:tblW w:w="851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7"/>
              <w:gridCol w:w="1573"/>
              <w:gridCol w:w="1643"/>
              <w:gridCol w:w="1643"/>
              <w:gridCol w:w="1619"/>
              <w:gridCol w:w="1489"/>
              <w:gridCol w:w="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序号</w:t>
                  </w:r>
                </w:p>
              </w:tc>
              <w:tc>
                <w:tcPr>
                  <w:tcW w:w="15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名称</w:t>
                  </w:r>
                </w:p>
              </w:tc>
              <w:tc>
                <w:tcPr>
                  <w:tcW w:w="16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单位</w:t>
                  </w:r>
                </w:p>
              </w:tc>
              <w:tc>
                <w:tcPr>
                  <w:tcW w:w="16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计划年消耗量</w:t>
                  </w:r>
                </w:p>
              </w:tc>
              <w:tc>
                <w:tcPr>
                  <w:tcW w:w="16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实际年消耗量</w:t>
                  </w:r>
                </w:p>
              </w:tc>
              <w:tc>
                <w:tcPr>
                  <w:tcW w:w="15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36"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脱脂棉纱布</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2</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无纺布</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180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180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3</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聚乙烯颗粒</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4</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eastAsia="zh-CN"/>
                    </w:rPr>
                    <w:t>聚丙烯</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30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30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5</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rPr>
                    <w:t>竹棒</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6</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rPr>
                    <w:t>脱脂棉</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3</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3</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35"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7</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rPr>
                    <w:t>聚乙烯颗粒</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12</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sz w:val="21"/>
                      <w:szCs w:val="21"/>
                      <w:lang w:val="en-US" w:eastAsia="zh-CN"/>
                    </w:rPr>
                    <w:t>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PE手套生产线尚未建设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8</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lang w:val="en-US" w:eastAsia="zh-CN"/>
                    </w:rPr>
                    <w:t>塑料</w:t>
                  </w:r>
                  <w:r>
                    <w:rPr>
                      <w:rFonts w:hint="default" w:ascii="Times New Roman" w:hAnsi="Times New Roman" w:cs="Times New Roman" w:eastAsiaTheme="minorEastAsia"/>
                      <w:sz w:val="21"/>
                      <w:szCs w:val="21"/>
                    </w:rPr>
                    <w:t>镊子</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托盘、橡胶手套、吸引头、注射器、导尿包等</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万个/a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9</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lang w:val="en-US" w:eastAsia="zh-CN"/>
                    </w:rPr>
                    <w:t>眼罩镜片</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eastAsia="zh-CN"/>
                    </w:rPr>
                    <w:t>个</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8000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8000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10</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lang w:val="en-US" w:eastAsia="zh-CN"/>
                    </w:rPr>
                    <w:t>橡皮筋</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eastAsia="zh-CN"/>
                    </w:rPr>
                    <w:t>个</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8000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8000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11</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rPr>
                    <w:t>包装袋</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20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20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12</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rPr>
                    <w:t>包装箱</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个/a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18000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18000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13</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lang w:val="en-US" w:eastAsia="zh-CN"/>
                    </w:rPr>
                    <w:t>环氧乙烷</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14</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sz w:val="21"/>
                      <w:szCs w:val="21"/>
                    </w:rPr>
                    <w:t>脱脂棉纱布</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1036</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1036</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15</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新鲜水</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rPr>
                    <w:t>m</w:t>
                  </w:r>
                  <w:r>
                    <w:rPr>
                      <w:rFonts w:hint="default" w:ascii="Times New Roman" w:hAnsi="Times New Roman" w:cs="Times New Roman" w:eastAsiaTheme="minorEastAsia"/>
                      <w:b w:val="0"/>
                      <w:bCs w:val="0"/>
                      <w:sz w:val="21"/>
                      <w:szCs w:val="21"/>
                      <w:u w:val="none"/>
                      <w:vertAlign w:val="superscript"/>
                    </w:rPr>
                    <w:t>3</w:t>
                  </w:r>
                  <w:r>
                    <w:rPr>
                      <w:rFonts w:hint="default" w:ascii="Times New Roman" w:hAnsi="Times New Roman" w:cs="Times New Roman" w:eastAsiaTheme="minorEastAsia"/>
                      <w:b w:val="0"/>
                      <w:bCs w:val="0"/>
                      <w:sz w:val="21"/>
                      <w:szCs w:val="21"/>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20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20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16</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电</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rPr>
                    <w:t>万kwh/a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sz w:val="21"/>
                      <w:szCs w:val="21"/>
                      <w:lang w:val="en-US" w:eastAsia="zh-CN"/>
                    </w:rPr>
                    <w:t>80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bl>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★给水</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①生产用水</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冷却循环水：项目挤出机、拉管机需要使用间接冷却水，设有1个冷却循环池，尺寸为2m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，根据企业提供资料，循环水池每天补充新水0.1m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，则生产用水量为30m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/a（0.1m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/d），冷却水循环使用，不外排。</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清洗用水：本项目为了确保配件的洁净度，采用纯水对各配件进行冲淋清洗，根据建设单位提供的生产经验和数据，清洗用水量为200m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/a，纯水制备系统制水率为70%，则自来水用量为286m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/a，浓水产生量为86m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/a。清洗过程产污系数按90%计，则清洗废水产生量为180m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/a，清洗过程采用纯水清洗，不添加清洗剂，故清洗废水中污染物含量很低，可直接用于厂区洒水降尘；浓水主要含无机盐类（钙、镁盐等）及其他矿物质，水质简单，用于厂区绿化，不外排。</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②生活用水</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本项目新增员工60人，均不在厂内住宿，项目营运期办公人员用水量以40L/d·人计，则营运期职工办公生活用水量为2.4m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/d（720m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★排水</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项目排放废水仅为办公生活污水，排污系数80%，则项目排水量为576m</w:t>
            </w:r>
            <w:r>
              <w:rPr>
                <w:rFonts w:hint="eastAsia" w:ascii="Times New Roman" w:hAnsi="Times New Roman" w:cs="Times New Roman" w:eastAsiaTheme="minorEastAsia"/>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/a。依托厂区原有化粪池进行处理，定期清掏用于肥田。</w:t>
            </w: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810760" cy="962025"/>
                  <wp:effectExtent l="0" t="0" r="8890" b="9525"/>
                  <wp:docPr id="15" name="图片 15" descr="166332019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3320192166"/>
                          <pic:cNvPicPr>
                            <a:picLocks noChangeAspect="1"/>
                          </pic:cNvPicPr>
                        </pic:nvPicPr>
                        <pic:blipFill>
                          <a:blip r:embed="rId11"/>
                          <a:stretch>
                            <a:fillRect/>
                          </a:stretch>
                        </pic:blipFill>
                        <pic:spPr>
                          <a:xfrm>
                            <a:off x="0" y="0"/>
                            <a:ext cx="4810760" cy="96202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口罩、帽、检查垫等生产工艺及产污流程图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工艺流程简述：将口罩、帽、检查垫、棉球、棉签等原料直接在口罩机（帽机、棉球机、棉签机等）上直接进行加工，加工后的产品经包装、灭菌、解析一系列工序后即为成品，入库。</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采用环氧乙烷灭菌器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送入废气处理装置进行处理。随后将产品移至解析库内静置，使产品中残余的环氧乙烷解析出来，通过抽风装置送入废气处理装置进行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rPr>
                <w:rFonts w:hint="eastAsia" w:ascii="Times New Roman" w:hAnsi="Times New Roman" w:eastAsia="宋体" w:cs="Times New Roman"/>
                <w:sz w:val="24"/>
                <w:szCs w:val="24"/>
                <w:lang w:val="en-US" w:eastAsia="zh-CN"/>
              </w:rPr>
            </w:pPr>
            <w:r>
              <w:drawing>
                <wp:inline distT="0" distB="0" distL="114300" distR="114300">
                  <wp:extent cx="4999990" cy="895350"/>
                  <wp:effectExtent l="0" t="0" r="1016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4999990" cy="895350"/>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医用脱脂棉纱布块、一次性手术衣等生产工艺及产污流程图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外购脱脂棉纱布、医用脱脂棉和无纺布等，将原料按照客户定做尺寸进行裁切，分切后采用折叠机、打卷机和缝纫机按照各产品工艺进行折叠、打卷、缝制，折叠/打卷/缝制后的产品经包装、灭菌、解析等一系列工序后即为成品，入库。</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drawing>
                <wp:inline distT="0" distB="0" distL="114300" distR="114300">
                  <wp:extent cx="5038090" cy="876300"/>
                  <wp:effectExtent l="0" t="0" r="1016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tretch>
                            <a:fillRect/>
                          </a:stretch>
                        </pic:blipFill>
                        <pic:spPr>
                          <a:xfrm>
                            <a:off x="0" y="0"/>
                            <a:ext cx="5038090" cy="876300"/>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气管插管、连接管、流雾化管、吸痰管等生产工艺流程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将外购的聚乙烯、聚丙烯加入搅拌机中，充分搅拌后经自动上料机注入注塑机/拉管机或一体化全自动体外循环线中，采用电加热至180℃左右使其熔融至粘融态，以一定的压力挤出后冷却成型，出料过程中采用冷却水进行冷却，冷却水循环使用，成型后根据客户定做尺寸采用分切机进行分切，分切后人工进行检验，检验后合格的半成品与外购的充气阀、转换接头等进行人工组装，组装后的产品经包装、灭菌、解析、检验等一系列工序后即为成品，入库。</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0" w:firstLineChars="200"/>
              <w:jc w:val="center"/>
              <w:textAlignment w:val="auto"/>
              <w:outlineLvl w:val="9"/>
            </w:pPr>
            <w:r>
              <w:drawing>
                <wp:inline distT="0" distB="0" distL="114300" distR="114300">
                  <wp:extent cx="5038090" cy="1066800"/>
                  <wp:effectExtent l="0" t="0" r="1016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4"/>
                          <a:stretch>
                            <a:fillRect/>
                          </a:stretch>
                        </pic:blipFill>
                        <pic:spPr>
                          <a:xfrm>
                            <a:off x="0" y="0"/>
                            <a:ext cx="5038090" cy="1066800"/>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医用组合包生产工艺流程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本项目医用组合包主要为一次性手术包，为外购半成品，根据不同需要将塑料镊子、吸引头、注射器、乳胶手套、布块、棉球等按要求进行装配，封装灭菌、解析形成医用组合包入库暂存。</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w:t>
            </w:r>
            <w:r>
              <w:rPr>
                <w:rFonts w:hint="eastAsia" w:ascii="Times New Roman" w:hAnsi="Times New Roman" w:eastAsia="宋体" w:cs="Times New Roman"/>
                <w:i w:val="0"/>
                <w:iCs w:val="0"/>
                <w:sz w:val="24"/>
                <w:lang w:val="en-US" w:eastAsia="zh-CN"/>
              </w:rPr>
              <w:t>河南省景康医疗器械有限公司</w:t>
            </w:r>
            <w:r>
              <w:rPr>
                <w:rFonts w:hint="default" w:ascii="Times New Roman" w:hAnsi="Times New Roman" w:cs="Times New Roman" w:eastAsiaTheme="minorEastAsia"/>
                <w:color w:val="auto"/>
                <w:sz w:val="24"/>
                <w:szCs w:val="24"/>
                <w:lang w:val="en-US" w:eastAsia="zh-CN"/>
              </w:rPr>
              <w:t>年产1.8万件Ⅰ、Ⅱ类医用卫生材料项目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及长垣市生态环境分局</w:t>
            </w:r>
            <w:r>
              <w:rPr>
                <w:rFonts w:hint="default" w:ascii="Times New Roman" w:hAnsi="Times New Roman" w:cs="Times New Roman" w:eastAsiaTheme="minorEastAsia"/>
                <w:sz w:val="24"/>
                <w:szCs w:val="24"/>
                <w:lang w:val="en-US" w:eastAsia="zh-CN"/>
              </w:rPr>
              <w:t>关于《</w:t>
            </w:r>
            <w:r>
              <w:rPr>
                <w:rFonts w:hint="eastAsia" w:ascii="Times New Roman" w:hAnsi="Times New Roman" w:eastAsia="宋体" w:cs="Times New Roman"/>
                <w:i w:val="0"/>
                <w:iCs w:val="0"/>
                <w:sz w:val="24"/>
                <w:lang w:val="en-US" w:eastAsia="zh-CN"/>
              </w:rPr>
              <w:t>河南省景康医疗器械有限公司</w:t>
            </w:r>
            <w:r>
              <w:rPr>
                <w:rFonts w:hint="default" w:ascii="Times New Roman" w:hAnsi="Times New Roman" w:cs="Times New Roman" w:eastAsiaTheme="minorEastAsia"/>
                <w:color w:val="auto"/>
                <w:sz w:val="24"/>
                <w:szCs w:val="24"/>
                <w:lang w:val="en-US" w:eastAsia="zh-CN"/>
              </w:rPr>
              <w:t>年产1.8万件Ⅰ、Ⅱ类医用卫生材料项目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eastAsiaTheme="minorEastAsia"/>
                <w:sz w:val="24"/>
                <w:szCs w:val="24"/>
                <w:lang w:val="en-US" w:eastAsia="zh-CN"/>
              </w:rPr>
              <w:t>本项目一期内容在实际建设中与环评一致，不存在变动。</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7"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项目运营过程产生的废气详见下表。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8</w:t>
            </w:r>
            <w:r>
              <w:rPr>
                <w:rFonts w:hint="default" w:ascii="Times New Roman" w:hAnsi="Times New Roman" w:cs="Times New Roman" w:eastAsiaTheme="minorEastAsia"/>
                <w:b/>
                <w:bCs/>
                <w:color w:val="auto"/>
                <w:kern w:val="2"/>
                <w:sz w:val="21"/>
                <w:szCs w:val="21"/>
                <w:lang w:val="en-US" w:eastAsia="zh-CN" w:bidi="ar-SA"/>
              </w:rPr>
              <w:t xml:space="preserve"> 本项目废气污染物情况一览表</w:t>
            </w:r>
          </w:p>
          <w:tbl>
            <w:tblPr>
              <w:tblStyle w:val="2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356"/>
              <w:gridCol w:w="1612"/>
              <w:gridCol w:w="1564"/>
              <w:gridCol w:w="1342"/>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4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车间</w:t>
                  </w:r>
                </w:p>
              </w:tc>
              <w:tc>
                <w:tcPr>
                  <w:tcW w:w="1356"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61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906" w:type="dxa"/>
                  <w:gridSpan w:val="2"/>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03"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142" w:type="dxa"/>
                  <w:vMerge w:val="restart"/>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生产车间</w:t>
                  </w:r>
                </w:p>
              </w:tc>
              <w:tc>
                <w:tcPr>
                  <w:tcW w:w="1356"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灭菌解析</w:t>
                  </w:r>
                </w:p>
              </w:tc>
              <w:tc>
                <w:tcPr>
                  <w:tcW w:w="161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56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喷淋塔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+活性炭吸附</w:t>
                  </w:r>
                </w:p>
              </w:tc>
              <w:tc>
                <w:tcPr>
                  <w:tcW w:w="134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m排气筒</w:t>
                  </w:r>
                </w:p>
              </w:tc>
              <w:tc>
                <w:tcPr>
                  <w:tcW w:w="1503" w:type="dxa"/>
                  <w:vMerge w:val="restart"/>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142" w:type="dxa"/>
                  <w:vMerge w:val="continue"/>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56"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注塑/挤出</w:t>
                  </w:r>
                </w:p>
              </w:tc>
              <w:tc>
                <w:tcPr>
                  <w:tcW w:w="161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56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UV光氧+</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活性炭吸附</w:t>
                  </w:r>
                </w:p>
              </w:tc>
              <w:tc>
                <w:tcPr>
                  <w:tcW w:w="134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m排气筒</w:t>
                  </w:r>
                </w:p>
              </w:tc>
              <w:tc>
                <w:tcPr>
                  <w:tcW w:w="1503" w:type="dxa"/>
                  <w:vMerge w:val="continue"/>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4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56"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61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906" w:type="dxa"/>
                  <w:gridSpan w:val="2"/>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车间内无组织排放，通过加强车间机械通风来改善车间环境</w:t>
                  </w:r>
                </w:p>
              </w:tc>
              <w:tc>
                <w:tcPr>
                  <w:tcW w:w="1503"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本项目无生产废水排放，废水主要为生活废水。生活废水排放量为576m3/a，本项目生活废水经厂区原有化粪池处理后定期清掏。</w:t>
            </w: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项目主要噪声源为注塑机、口罩机、缝纫机、棉签机等机械设施运行时产生的机械噪声。据类比调查，本项目高噪声设备源强在70～90B（A）。本项目采用隔声、消声、减振等方式治理噪声污染。</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9</w:t>
            </w:r>
            <w:r>
              <w:rPr>
                <w:rFonts w:hint="default" w:ascii="Times New Roman" w:hAnsi="Times New Roman" w:cs="Times New Roman" w:eastAsiaTheme="minorEastAsia"/>
                <w:b/>
                <w:bCs/>
                <w:color w:val="auto"/>
                <w:kern w:val="2"/>
                <w:sz w:val="21"/>
                <w:szCs w:val="21"/>
                <w:lang w:val="en-US" w:eastAsia="zh-CN" w:bidi="ar-SA"/>
              </w:rPr>
              <w:t>主要产噪设备及源强表</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6"/>
              <w:gridCol w:w="2606"/>
              <w:gridCol w:w="2480"/>
              <w:gridCol w:w="25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3" w:hRule="atLeast"/>
                <w:tblHeader/>
                <w:jc w:val="center"/>
              </w:trPr>
              <w:tc>
                <w:tcPr>
                  <w:tcW w:w="111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6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48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5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9" w:hRule="atLeast"/>
                <w:tblHeader/>
                <w:jc w:val="center"/>
              </w:trPr>
              <w:tc>
                <w:tcPr>
                  <w:tcW w:w="111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606" w:type="dxa"/>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highlight w:val="none"/>
                      <w:lang w:val="en-US" w:eastAsia="zh-CN"/>
                    </w:rPr>
                    <w:t>注塑机</w:t>
                  </w:r>
                </w:p>
              </w:tc>
              <w:tc>
                <w:tcPr>
                  <w:tcW w:w="248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w:t>
                  </w:r>
                </w:p>
              </w:tc>
              <w:tc>
                <w:tcPr>
                  <w:tcW w:w="25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9" w:hRule="atLeast"/>
                <w:tblHeader/>
                <w:jc w:val="center"/>
              </w:trPr>
              <w:tc>
                <w:tcPr>
                  <w:tcW w:w="111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6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color w:val="000000"/>
                      <w:sz w:val="21"/>
                      <w:szCs w:val="21"/>
                      <w:highlight w:val="none"/>
                      <w:lang w:val="en-US" w:eastAsia="zh-CN"/>
                    </w:rPr>
                    <w:t>口罩机</w:t>
                  </w:r>
                </w:p>
              </w:tc>
              <w:tc>
                <w:tcPr>
                  <w:tcW w:w="248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75</w:t>
                  </w:r>
                </w:p>
              </w:tc>
              <w:tc>
                <w:tcPr>
                  <w:tcW w:w="25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9" w:hRule="atLeast"/>
                <w:tblHeader/>
                <w:jc w:val="center"/>
              </w:trPr>
              <w:tc>
                <w:tcPr>
                  <w:tcW w:w="111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606" w:type="dxa"/>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color w:val="000000"/>
                      <w:sz w:val="21"/>
                      <w:szCs w:val="21"/>
                      <w:highlight w:val="none"/>
                      <w:lang w:val="en-US" w:eastAsia="zh-CN"/>
                    </w:rPr>
                    <w:t>缝纫机</w:t>
                  </w:r>
                </w:p>
              </w:tc>
              <w:tc>
                <w:tcPr>
                  <w:tcW w:w="248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25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9" w:hRule="atLeast"/>
                <w:tblHeader/>
                <w:jc w:val="center"/>
              </w:trPr>
              <w:tc>
                <w:tcPr>
                  <w:tcW w:w="111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4</w:t>
                  </w:r>
                </w:p>
              </w:tc>
              <w:tc>
                <w:tcPr>
                  <w:tcW w:w="2606" w:type="dxa"/>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棉签机</w:t>
                  </w:r>
                </w:p>
              </w:tc>
              <w:tc>
                <w:tcPr>
                  <w:tcW w:w="248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rPr>
                    <w:t>90</w:t>
                  </w:r>
                </w:p>
              </w:tc>
              <w:tc>
                <w:tcPr>
                  <w:tcW w:w="25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rPr>
                    <w:t>70</w:t>
                  </w:r>
                </w:p>
              </w:tc>
            </w:tr>
          </w:tbl>
          <w:p>
            <w:pPr>
              <w:pStyle w:val="7"/>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lang w:eastAsia="zh-CN"/>
                <w14:textFill>
                  <w14:solidFill>
                    <w14:schemeClr w14:val="tx1"/>
                  </w14:solidFill>
                </w14:textFill>
              </w:rPr>
              <w:t>本项目营运期固废产排情况见下表所示。</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10</w:t>
            </w:r>
            <w:r>
              <w:rPr>
                <w:rFonts w:hint="default" w:ascii="Times New Roman" w:hAnsi="Times New Roman" w:cs="Times New Roman" w:eastAsiaTheme="minorEastAsia"/>
                <w:b/>
                <w:bCs/>
                <w:color w:val="auto"/>
                <w:kern w:val="2"/>
                <w:sz w:val="21"/>
                <w:szCs w:val="21"/>
                <w:lang w:val="en-US" w:eastAsia="zh-CN" w:bidi="ar-SA"/>
              </w:rPr>
              <w:t xml:space="preserve"> 项目实施后固体废物产生情况一览表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
            <w:tblGrid>
              <w:gridCol w:w="1300"/>
              <w:gridCol w:w="1284"/>
              <w:gridCol w:w="1066"/>
              <w:gridCol w:w="2706"/>
              <w:gridCol w:w="236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3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2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066"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270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23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30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一般固废</w:t>
                  </w:r>
                </w:p>
              </w:tc>
              <w:tc>
                <w:tcPr>
                  <w:tcW w:w="1284"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边角料</w:t>
                  </w:r>
                </w:p>
              </w:tc>
              <w:tc>
                <w:tcPr>
                  <w:tcW w:w="106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t/a</w:t>
                  </w:r>
                </w:p>
              </w:tc>
              <w:tc>
                <w:tcPr>
                  <w:tcW w:w="270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c>
                <w:tcPr>
                  <w:tcW w:w="2364"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外售</w:t>
                  </w:r>
                  <w:r>
                    <w:rPr>
                      <w:rFonts w:hint="default" w:ascii="Times New Roman" w:hAnsi="Times New Roman" w:cs="Times New Roman" w:eastAsiaTheme="minorEastAsia"/>
                      <w:sz w:val="21"/>
                      <w:szCs w:val="21"/>
                      <w:lang w:eastAsia="zh-CN"/>
                    </w:rPr>
                    <w:t>，定期交由物资部门回收</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300" w:type="dxa"/>
                  <w:vMerge w:val="continue"/>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1284" w:type="dxa"/>
                  <w:tcBorders>
                    <w:bottom w:val="single" w:color="auto" w:sz="4" w:space="0"/>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残次品</w:t>
                  </w:r>
                </w:p>
              </w:tc>
              <w:tc>
                <w:tcPr>
                  <w:tcW w:w="1066" w:type="dxa"/>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0.5t/a</w:t>
                  </w:r>
                </w:p>
              </w:tc>
              <w:tc>
                <w:tcPr>
                  <w:tcW w:w="2706" w:type="dxa"/>
                  <w:tcBorders>
                    <w:bottom w:val="single" w:color="auto" w:sz="4" w:space="0"/>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364" w:type="dxa"/>
                  <w:vMerge w:val="continue"/>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300" w:type="dxa"/>
                  <w:vMerge w:val="continue"/>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1284" w:type="dxa"/>
                  <w:tcBorders>
                    <w:bottom w:val="single" w:color="auto" w:sz="4" w:space="0"/>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废包装</w:t>
                  </w:r>
                </w:p>
              </w:tc>
              <w:tc>
                <w:tcPr>
                  <w:tcW w:w="1066" w:type="dxa"/>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0.6t/a</w:t>
                  </w:r>
                </w:p>
              </w:tc>
              <w:tc>
                <w:tcPr>
                  <w:tcW w:w="2706" w:type="dxa"/>
                  <w:tcBorders>
                    <w:bottom w:val="single" w:color="auto" w:sz="4" w:space="0"/>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lang w:val="en-US" w:eastAsia="zh-CN"/>
                    </w:rPr>
                    <w:t>/</w:t>
                  </w:r>
                </w:p>
              </w:tc>
              <w:tc>
                <w:tcPr>
                  <w:tcW w:w="2364" w:type="dxa"/>
                  <w:vMerge w:val="continue"/>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300" w:type="dxa"/>
                  <w:vMerge w:val="restart"/>
                  <w:tcBorders>
                    <w:top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危险废物</w:t>
                  </w:r>
                </w:p>
              </w:tc>
              <w:tc>
                <w:tcPr>
                  <w:tcW w:w="1284" w:type="dxa"/>
                  <w:tcBorders>
                    <w:top w:val="single" w:color="auto" w:sz="4" w:space="0"/>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废活性炭</w:t>
                  </w:r>
                </w:p>
              </w:tc>
              <w:tc>
                <w:tcPr>
                  <w:tcW w:w="1066" w:type="dxa"/>
                  <w:tcBorders>
                    <w:top w:val="single" w:color="auto" w:sz="4" w:space="0"/>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0.7t/a</w:t>
                  </w:r>
                </w:p>
              </w:tc>
              <w:tc>
                <w:tcPr>
                  <w:tcW w:w="2706" w:type="dxa"/>
                  <w:tcBorders>
                    <w:top w:val="single" w:color="auto" w:sz="4" w:space="0"/>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lang w:val="en-US" w:eastAsia="zh-CN"/>
                    </w:rPr>
                    <w:t>HW49其他废物</w:t>
                  </w:r>
                </w:p>
              </w:tc>
              <w:tc>
                <w:tcPr>
                  <w:tcW w:w="2364" w:type="dxa"/>
                  <w:vMerge w:val="restart"/>
                  <w:tcBorders>
                    <w:top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设危废暂存间，定期交由资质单位处置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30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4" w:type="dxa"/>
                  <w:tcBorders>
                    <w:top w:val="single" w:color="auto" w:sz="4" w:space="0"/>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废UV灯管</w:t>
                  </w:r>
                </w:p>
              </w:tc>
              <w:tc>
                <w:tcPr>
                  <w:tcW w:w="1066" w:type="dxa"/>
                  <w:tcBorders>
                    <w:top w:val="single" w:color="auto" w:sz="4" w:space="0"/>
                    <w:tl2br w:val="nil"/>
                    <w:tr2bl w:val="nil"/>
                  </w:tcBorders>
                  <w:vAlign w:val="center"/>
                </w:tcPr>
                <w:p>
                  <w:pPr>
                    <w:pStyle w:val="40"/>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kern w:val="2"/>
                      <w:sz w:val="21"/>
                      <w:szCs w:val="21"/>
                      <w:lang w:val="en-US" w:eastAsia="zh-CN"/>
                    </w:rPr>
                    <w:t>2</w:t>
                  </w:r>
                  <w:r>
                    <w:rPr>
                      <w:rFonts w:hint="default" w:ascii="Times New Roman" w:hAnsi="Times New Roman" w:cs="Times New Roman" w:eastAsiaTheme="minorEastAsia"/>
                      <w:kern w:val="2"/>
                      <w:sz w:val="21"/>
                      <w:szCs w:val="21"/>
                    </w:rPr>
                    <w:t>0根/a</w:t>
                  </w:r>
                </w:p>
              </w:tc>
              <w:tc>
                <w:tcPr>
                  <w:tcW w:w="2706" w:type="dxa"/>
                  <w:tcBorders>
                    <w:top w:val="single" w:color="auto"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kern w:val="0"/>
                      <w:sz w:val="21"/>
                      <w:szCs w:val="21"/>
                    </w:rPr>
                    <w:t>HW29含汞废物</w:t>
                  </w:r>
                </w:p>
              </w:tc>
              <w:tc>
                <w:tcPr>
                  <w:tcW w:w="2364"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2584"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生活垃圾</w:t>
                  </w:r>
                </w:p>
              </w:tc>
              <w:tc>
                <w:tcPr>
                  <w:tcW w:w="106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9.0</w:t>
                  </w:r>
                  <w:r>
                    <w:rPr>
                      <w:rFonts w:hint="default" w:ascii="Times New Roman" w:hAnsi="Times New Roman" w:cs="Times New Roman" w:eastAsiaTheme="minorEastAsia"/>
                      <w:sz w:val="21"/>
                      <w:szCs w:val="21"/>
                    </w:rPr>
                    <w:t>t/a</w:t>
                  </w:r>
                </w:p>
              </w:tc>
              <w:tc>
                <w:tcPr>
                  <w:tcW w:w="270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c>
                <w:tcPr>
                  <w:tcW w:w="23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集中收集交由环卫部门处理处置</w:t>
                  </w:r>
                </w:p>
              </w:tc>
            </w:tr>
          </w:tbl>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5"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22133"/>
            <w:bookmarkStart w:id="2" w:name="_Toc27259"/>
            <w:bookmarkStart w:id="3" w:name="_Toc5839"/>
            <w:bookmarkStart w:id="4"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挤出/拉管/封口废气经“UV光催化+活性炭吸附+15m高排气筒排放”，吹膜、加工废气经“UV光催化+活性炭吸附+15m高排气筒排放，灭菌、解析废气经“碘值800活性炭吸附装置+15m高排气筒排放”，其中注塑/挤出/拉管废气和吹膜、加工废气满足合成树脂工业污染物排放标准》（GB31572-2015）要求；灭菌、解析废气满足《关于全省开展工业企业挥发性有机物专项治理工作中排放建议值的通知》（豫环攻坚办[2017]162号）医药制造的限值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（2）废水：本项目无生产废水，生活废水经厂区内化粪池处理后，定期清掏。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（3）噪声：噪声源经选用低噪声设备、隔声、减振和消声措施后可达标排放，对区域环境基本无影响。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（4）固体废物：设置一般固废暂存区，边角料、残次品等一般固体废物在厂区暂存后外售；设置危废间，废活性炭、废UV灯管在厂区危废暂存间暂存后，定期交由资质单位处置，生活垃圾由环卫部门统一处理。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i w:val="0"/>
                <w:iCs w:val="0"/>
                <w:sz w:val="24"/>
                <w:lang w:val="en-US" w:eastAsia="zh-CN"/>
              </w:rPr>
              <w:t>河南省景康医疗器械有限公司</w:t>
            </w:r>
            <w:r>
              <w:rPr>
                <w:rFonts w:hint="default" w:ascii="Times New Roman" w:hAnsi="Times New Roman" w:cs="Times New Roman" w:eastAsiaTheme="minorEastAsia"/>
                <w:color w:val="auto"/>
                <w:sz w:val="24"/>
                <w:szCs w:val="24"/>
                <w:lang w:val="en-US" w:eastAsia="zh-CN"/>
              </w:rPr>
              <w:t>年产1.8万件Ⅰ、Ⅱ类医用卫生材料项目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》，同意该项目在长垣市满村镇省道308线西大杨楼村以南建设。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二、严格执行环保“三同时”制度，认真落实环评要求及建议，并向社会公众主动公开业经批准的环境影响报告表，并接受相关方的咨询。环评中提及的污染防治措施可以作为该项目污染治理设施设计的依据。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4"/>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3" w:hRule="atLeast"/>
        </w:trPr>
        <w:tc>
          <w:tcPr>
            <w:tcW w:w="8946" w:type="dxa"/>
            <w:vAlign w:val="top"/>
          </w:tcPr>
          <w:p>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中弘国泰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中弘国泰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11</w:t>
            </w:r>
            <w:r>
              <w:rPr>
                <w:rFonts w:hint="default" w:ascii="Times New Roman" w:hAnsi="Times New Roman" w:cs="Times New Roman" w:eastAsiaTheme="minorEastAsia"/>
                <w:b/>
                <w:bCs/>
                <w:color w:val="auto"/>
                <w:kern w:val="2"/>
                <w:sz w:val="21"/>
                <w:szCs w:val="21"/>
                <w:lang w:val="en-US" w:eastAsia="zh-CN" w:bidi="ar-SA"/>
              </w:rPr>
              <w:t xml:space="preserve"> 监测分析方法一览表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335"/>
              <w:gridCol w:w="3447"/>
              <w:gridCol w:w="169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97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检测类别</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检测项目</w:t>
                  </w:r>
                </w:p>
              </w:tc>
              <w:tc>
                <w:tcPr>
                  <w:tcW w:w="34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检测标准（方法）及编号（年</w:t>
                  </w:r>
                  <w:r>
                    <w:rPr>
                      <w:rFonts w:hint="default" w:ascii="Times New Roman" w:hAnsi="Times New Roman" w:cs="Times New Roman" w:eastAsiaTheme="minorEastAsia"/>
                      <w:b/>
                      <w:bCs/>
                      <w:sz w:val="21"/>
                      <w:szCs w:val="21"/>
                      <w:lang w:eastAsia="zh-CN"/>
                    </w:rPr>
                    <w:t>号</w:t>
                  </w:r>
                  <w:r>
                    <w:rPr>
                      <w:rFonts w:hint="default" w:ascii="Times New Roman" w:hAnsi="Times New Roman" w:cs="Times New Roman" w:eastAsiaTheme="minorEastAsia"/>
                      <w:b/>
                      <w:bCs/>
                      <w:sz w:val="21"/>
                      <w:szCs w:val="21"/>
                    </w:rPr>
                    <w:t>）</w:t>
                  </w:r>
                </w:p>
              </w:tc>
              <w:tc>
                <w:tcPr>
                  <w:tcW w:w="169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主要仪器</w:t>
                  </w: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97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废气</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非甲烷总烃</w:t>
                  </w:r>
                </w:p>
              </w:tc>
              <w:tc>
                <w:tcPr>
                  <w:tcW w:w="34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固定污染源废气 总烃、甲烷和非甲烷总烃的测定 气相色谱法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rPr>
                    <w:t>HJ 38-2017</w:t>
                  </w:r>
                </w:p>
              </w:tc>
              <w:tc>
                <w:tcPr>
                  <w:tcW w:w="169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气相色谱仪</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rPr>
                    <w:t>GC9790II</w:t>
                  </w: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0.07mg/m³</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rPr>
                    <w:t>以碳计</w:t>
                  </w: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97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环境空气</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rPr>
                    <w:t>非甲烷总烃</w:t>
                  </w:r>
                </w:p>
              </w:tc>
              <w:tc>
                <w:tcPr>
                  <w:tcW w:w="34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环境空气 总烃、甲烷和非甲烷总烃的测定 直接进样-气相色谱法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rPr>
                    <w:t>HJ 604-2017</w:t>
                  </w:r>
                </w:p>
              </w:tc>
              <w:tc>
                <w:tcPr>
                  <w:tcW w:w="169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气相色谱仪</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rPr>
                    <w:t>GC9790II</w:t>
                  </w: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0.07mg/m³</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rPr>
                    <w:t>以碳计</w:t>
                  </w: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97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vertAlign w:val="baseline"/>
                      <w:lang w:val="en-US" w:eastAsia="zh-CN"/>
                    </w:rPr>
                    <w:t>厂界噪声</w:t>
                  </w:r>
                </w:p>
              </w:tc>
              <w:tc>
                <w:tcPr>
                  <w:tcW w:w="34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vertAlign w:val="baseline"/>
                      <w:lang w:val="en-US" w:eastAsia="zh-CN"/>
                    </w:rPr>
                    <w:t>工业企业厂界环境噪声排放标准  GB 12348-2008</w:t>
                  </w:r>
                </w:p>
              </w:tc>
              <w:tc>
                <w:tcPr>
                  <w:tcW w:w="169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vertAlign w:val="baseline"/>
                      <w:lang w:val="en-US" w:eastAsia="zh-CN"/>
                    </w:rPr>
                    <w:t>多功能声级计AWA5688型</w:t>
                  </w: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sz w:val="21"/>
                      <w:szCs w:val="21"/>
                      <w:vertAlign w:val="baseline"/>
                      <w:lang w:val="en-US" w:eastAsia="zh-CN"/>
                    </w:rPr>
                    <w:t>/</w:t>
                  </w:r>
                </w:p>
              </w:tc>
            </w:tr>
          </w:tbl>
          <w:p>
            <w:pPr>
              <w:pStyle w:val="2"/>
              <w:rPr>
                <w:rFonts w:hint="default" w:ascii="Times New Roman" w:hAnsi="Times New Roman" w:cs="Times New Roman"/>
              </w:rPr>
            </w:pPr>
          </w:p>
        </w:tc>
      </w:tr>
    </w:tbl>
    <w:p>
      <w:pPr>
        <w:spacing w:line="360" w:lineRule="auto"/>
        <w:rPr>
          <w:rFonts w:hint="default" w:ascii="Times New Roman" w:hAnsi="Times New Roman" w:cs="Times New Roman" w:eastAsiaTheme="minorEastAsia"/>
          <w:color w:val="000000"/>
          <w:sz w:val="21"/>
          <w:szCs w:val="21"/>
        </w:rPr>
        <w:sectPr>
          <w:headerReference r:id="rId4" w:type="default"/>
          <w:footerReference r:id="rId5"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4"/>
        <w:tblpPr w:leftFromText="180" w:rightFromText="180" w:vertAnchor="text" w:tblpXSpec="center" w:tblpY="1"/>
        <w:tblOverlap w:val="never"/>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46" w:type="dxa"/>
            <w:vAlign w:val="center"/>
          </w:tcPr>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不涉及废水监测。</w:t>
            </w:r>
          </w:p>
          <w:p>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本项目废气监测包括有组织废气监测和无组织废气，监测内容详见下表。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12</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废气检测内容一览表</w:t>
            </w:r>
          </w:p>
          <w:tbl>
            <w:tblPr>
              <w:tblStyle w:val="2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60"/>
              <w:gridCol w:w="1468"/>
              <w:gridCol w:w="1093"/>
              <w:gridCol w:w="1043"/>
              <w:gridCol w:w="3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67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监测类别</w:t>
                  </w:r>
                </w:p>
              </w:tc>
              <w:tc>
                <w:tcPr>
                  <w:tcW w:w="96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排放源</w:t>
                  </w:r>
                </w:p>
              </w:tc>
              <w:tc>
                <w:tcPr>
                  <w:tcW w:w="146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监测点位</w:t>
                  </w:r>
                </w:p>
              </w:tc>
              <w:tc>
                <w:tcPr>
                  <w:tcW w:w="109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监测因子</w:t>
                  </w:r>
                </w:p>
              </w:tc>
              <w:tc>
                <w:tcPr>
                  <w:tcW w:w="104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监测频次</w:t>
                  </w:r>
                </w:p>
              </w:tc>
              <w:tc>
                <w:tcPr>
                  <w:tcW w:w="347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FF0000"/>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677"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有组织废气</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val="0"/>
                      <w:bCs w:val="0"/>
                      <w:color w:val="000000"/>
                      <w:sz w:val="21"/>
                      <w:szCs w:val="21"/>
                      <w:u w:val="none"/>
                      <w:lang w:val="en-US" w:eastAsia="zh-CN"/>
                    </w:rPr>
                    <w:t>1#灭菌解析废气</w:t>
                  </w:r>
                </w:p>
              </w:tc>
              <w:tc>
                <w:tcPr>
                  <w:tcW w:w="14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废气治理设施（</w:t>
                  </w:r>
                  <w:r>
                    <w:rPr>
                      <w:rFonts w:hint="default" w:ascii="Times New Roman" w:hAnsi="Times New Roman" w:cs="Times New Roman" w:eastAsiaTheme="minorEastAsia"/>
                      <w:bCs/>
                      <w:sz w:val="21"/>
                      <w:szCs w:val="21"/>
                    </w:rPr>
                    <w:t>水吸收+活性炭吸附</w:t>
                  </w:r>
                  <w:r>
                    <w:rPr>
                      <w:rFonts w:hint="default" w:ascii="Times New Roman" w:hAnsi="Times New Roman" w:cs="Times New Roman" w:eastAsiaTheme="minorEastAsia"/>
                      <w:color w:val="auto"/>
                      <w:sz w:val="21"/>
                      <w:szCs w:val="21"/>
                      <w:vertAlign w:val="baseline"/>
                      <w:lang w:val="en-US" w:eastAsia="zh-CN"/>
                    </w:rPr>
                    <w:t>）出口</w:t>
                  </w:r>
                </w:p>
              </w:tc>
              <w:tc>
                <w:tcPr>
                  <w:tcW w:w="109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非甲烷总烃</w:t>
                  </w:r>
                </w:p>
              </w:tc>
              <w:tc>
                <w:tcPr>
                  <w:tcW w:w="104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每天监测3次</w:t>
                  </w:r>
                </w:p>
              </w:tc>
              <w:tc>
                <w:tcPr>
                  <w:tcW w:w="347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both"/>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000000"/>
                      <w:sz w:val="21"/>
                      <w:szCs w:val="21"/>
                      <w:vertAlign w:val="baseline"/>
                      <w:lang w:val="en-US" w:eastAsia="zh-CN"/>
                    </w:rPr>
                    <w:t>《关于全省开展工业企业挥发性有机物专项治理工作中排放建议值的通知》（豫环攻坚办[2017]162号）（医药制造工业：60mg/m</w:t>
                  </w:r>
                  <w:r>
                    <w:rPr>
                      <w:rFonts w:hint="default" w:ascii="Times New Roman" w:hAnsi="Times New Roman" w:eastAsia="新宋体" w:cs="Times New Roman"/>
                      <w:color w:val="000000"/>
                      <w:sz w:val="21"/>
                      <w:szCs w:val="21"/>
                      <w:vertAlign w:val="superscript"/>
                      <w:lang w:val="en-US" w:eastAsia="zh-CN"/>
                    </w:rPr>
                    <w:t>3</w:t>
                  </w:r>
                  <w:r>
                    <w:rPr>
                      <w:rFonts w:hint="default" w:ascii="Times New Roman" w:hAnsi="Times New Roman" w:eastAsia="新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677"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val="en-US" w:eastAsia="zh-CN"/>
                    </w:rPr>
                    <w:t>注塑/挤出/拉管/封口</w:t>
                  </w:r>
                </w:p>
              </w:tc>
              <w:tc>
                <w:tcPr>
                  <w:tcW w:w="14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废气治理设施（</w:t>
                  </w:r>
                  <w:r>
                    <w:rPr>
                      <w:rFonts w:hint="default" w:ascii="Times New Roman" w:hAnsi="Times New Roman" w:cs="Times New Roman" w:eastAsiaTheme="minorEastAsia"/>
                      <w:bCs/>
                      <w:sz w:val="21"/>
                      <w:szCs w:val="21"/>
                      <w:lang w:val="en-US" w:eastAsia="zh-CN"/>
                    </w:rPr>
                    <w:t>UV</w:t>
                  </w:r>
                  <w:r>
                    <w:rPr>
                      <w:rFonts w:hint="default" w:ascii="Times New Roman" w:hAnsi="Times New Roman" w:cs="Times New Roman" w:eastAsiaTheme="minorEastAsia"/>
                      <w:bCs/>
                      <w:sz w:val="21"/>
                      <w:szCs w:val="21"/>
                    </w:rPr>
                    <w:t>+活性炭吸附</w:t>
                  </w:r>
                  <w:r>
                    <w:rPr>
                      <w:rFonts w:hint="default" w:ascii="Times New Roman" w:hAnsi="Times New Roman" w:cs="Times New Roman" w:eastAsiaTheme="minorEastAsia"/>
                      <w:color w:val="auto"/>
                      <w:sz w:val="21"/>
                      <w:szCs w:val="21"/>
                      <w:vertAlign w:val="baseline"/>
                      <w:lang w:val="en-US" w:eastAsia="zh-CN"/>
                    </w:rPr>
                    <w:t>）出口</w:t>
                  </w:r>
                </w:p>
              </w:tc>
              <w:tc>
                <w:tcPr>
                  <w:tcW w:w="109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eastAsia="zh-CN"/>
                    </w:rPr>
                    <w:t>非甲烷总烃</w:t>
                  </w:r>
                </w:p>
              </w:tc>
              <w:tc>
                <w:tcPr>
                  <w:tcW w:w="104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p>
              </w:tc>
              <w:tc>
                <w:tcPr>
                  <w:tcW w:w="3479" w:type="dxa"/>
                  <w:vMerge w:val="continue"/>
                  <w:vAlign w:val="center"/>
                </w:tcPr>
                <w:p>
                  <w:pPr>
                    <w:keepNext w:val="0"/>
                    <w:keepLines w:val="0"/>
                    <w:pageBreakBefore w:val="0"/>
                    <w:widowControl w:val="0"/>
                    <w:kinsoku/>
                    <w:wordWrap/>
                    <w:overflowPunct/>
                    <w:topLinePunct w:val="0"/>
                    <w:autoSpaceDE/>
                    <w:autoSpaceDN/>
                    <w:bidi w:val="0"/>
                    <w:snapToGrid w:val="0"/>
                    <w:spacing w:after="0" w:afterLines="0" w:line="240" w:lineRule="auto"/>
                    <w:ind w:left="-110" w:leftChars="-50" w:right="-110" w:rightChars="-50" w:firstLine="0" w:firstLineChars="0"/>
                    <w:jc w:val="center"/>
                    <w:textAlignment w:val="auto"/>
                    <w:rPr>
                      <w:rFonts w:hint="default" w:ascii="Times New Roman" w:hAnsi="Times New Roman" w:eastAsia="新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677"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无组织废气</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w:t>
                  </w:r>
                </w:p>
              </w:tc>
              <w:tc>
                <w:tcPr>
                  <w:tcW w:w="14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厂界外上风向设置一个点位、下风向设置3个点位</w:t>
                  </w:r>
                </w:p>
              </w:tc>
              <w:tc>
                <w:tcPr>
                  <w:tcW w:w="109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kern w:val="0"/>
                      <w:sz w:val="21"/>
                      <w:szCs w:val="21"/>
                      <w:lang w:eastAsia="zh-CN"/>
                    </w:rPr>
                  </w:pPr>
                  <w:r>
                    <w:rPr>
                      <w:rFonts w:hint="default" w:ascii="Times New Roman" w:hAnsi="Times New Roman" w:eastAsia="新宋体" w:cs="Times New Roman"/>
                      <w:color w:val="auto"/>
                      <w:kern w:val="0"/>
                      <w:sz w:val="21"/>
                      <w:szCs w:val="21"/>
                      <w:lang w:eastAsia="zh-CN"/>
                    </w:rPr>
                    <w:t>非甲烷总烃</w:t>
                  </w:r>
                </w:p>
              </w:tc>
              <w:tc>
                <w:tcPr>
                  <w:tcW w:w="104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每天监测3次</w:t>
                  </w:r>
                </w:p>
              </w:tc>
              <w:tc>
                <w:tcPr>
                  <w:tcW w:w="347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000000"/>
                      <w:sz w:val="21"/>
                      <w:szCs w:val="21"/>
                      <w:vertAlign w:val="baseline"/>
                      <w:lang w:val="en-US" w:eastAsia="zh-CN"/>
                    </w:rPr>
                    <w:t>《关于全省开展工业企业挥发性有机物专项治理工作中排放建议值的通知》（豫环攻坚办[2017]162号）非甲烷总烃2.0</w:t>
                  </w:r>
                  <w:r>
                    <w:rPr>
                      <w:rFonts w:hint="default" w:ascii="Times New Roman" w:hAnsi="Times New Roman" w:eastAsia="新宋体" w:cs="Times New Roman"/>
                      <w:color w:val="auto"/>
                      <w:sz w:val="21"/>
                      <w:szCs w:val="21"/>
                      <w:vertAlign w:val="baseline"/>
                      <w:lang w:val="en-US" w:eastAsia="zh-CN"/>
                    </w:rPr>
                    <w:t>mg/m</w:t>
                  </w:r>
                  <w:r>
                    <w:rPr>
                      <w:rFonts w:hint="default" w:ascii="Times New Roman" w:hAnsi="Times New Roman" w:eastAsia="新宋体" w:cs="Times New Roman"/>
                      <w:color w:val="auto"/>
                      <w:sz w:val="21"/>
                      <w:szCs w:val="21"/>
                      <w:vertAlign w:val="superscript"/>
                      <w:lang w:val="en-US" w:eastAsia="zh-CN"/>
                    </w:rPr>
                    <w:t>3</w:t>
                  </w:r>
                </w:p>
              </w:tc>
            </w:tr>
          </w:tbl>
          <w:p>
            <w:pPr>
              <w:pStyle w:val="4"/>
              <w:pageBreakBefore w:val="0"/>
              <w:widowControl/>
              <w:numPr>
                <w:ilvl w:val="0"/>
                <w:numId w:val="2"/>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13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25"/>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827"/>
              <w:gridCol w:w="1928"/>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82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92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329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w:t>
                  </w:r>
                </w:p>
              </w:tc>
              <w:tc>
                <w:tcPr>
                  <w:tcW w:w="182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厂界四周</w:t>
                  </w:r>
                </w:p>
              </w:tc>
              <w:tc>
                <w:tcPr>
                  <w:tcW w:w="1928"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连续等效A声级</w:t>
                  </w:r>
                </w:p>
              </w:tc>
              <w:tc>
                <w:tcPr>
                  <w:tcW w:w="329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连续监测2天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每天昼夜各监测1次</w:t>
                  </w:r>
                </w:p>
              </w:tc>
            </w:tr>
          </w:tbl>
          <w:p>
            <w:pPr>
              <w:pStyle w:val="4"/>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6"/>
              <w:spacing w:before="62" w:beforeLines="20" w:line="360" w:lineRule="auto"/>
              <w:ind w:left="0" w:leftChars="0" w:firstLine="0" w:firstLineChars="0"/>
              <w:rPr>
                <w:rFonts w:hint="default" w:ascii="Times New Roman" w:hAnsi="Times New Roman" w:eastAsia="仿宋_GB2312" w:cs="Times New Roman"/>
                <w:color w:val="FF0000"/>
                <w:szCs w:val="21"/>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946" w:type="dxa"/>
            <w:vAlign w:val="top"/>
          </w:tcPr>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现场检测期间，该企业工况稳定，生产负荷满足验收监测工况的要求</w:t>
            </w:r>
          </w:p>
          <w:p>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sz w:val="24"/>
                <w:szCs w:val="24"/>
                <w:lang w:val="en-US" w:eastAsia="zh-CN"/>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本项目有组织废气检测结果见</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14   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4"/>
              <w:tblW w:w="87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8"/>
              <w:gridCol w:w="1693"/>
              <w:gridCol w:w="997"/>
              <w:gridCol w:w="998"/>
              <w:gridCol w:w="1002"/>
              <w:gridCol w:w="992"/>
              <w:gridCol w:w="997"/>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采样点位</w:t>
                  </w:r>
                </w:p>
              </w:tc>
              <w:tc>
                <w:tcPr>
                  <w:tcW w:w="598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eastAsia="zh-CN"/>
                    </w:rPr>
                    <w:t>废气治理设施（</w:t>
                  </w:r>
                  <w:r>
                    <w:rPr>
                      <w:rFonts w:hint="default" w:ascii="Times New Roman" w:hAnsi="Times New Roman" w:cs="Times New Roman" w:eastAsiaTheme="minorEastAsia"/>
                      <w:b w:val="0"/>
                      <w:bCs w:val="0"/>
                      <w:sz w:val="21"/>
                      <w:szCs w:val="21"/>
                      <w:lang w:eastAsia="zh-CN"/>
                    </w:rPr>
                    <w:t>水吸收+活性炭吸附）进口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采样日期</w:t>
                  </w:r>
                </w:p>
              </w:tc>
              <w:tc>
                <w:tcPr>
                  <w:tcW w:w="299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2022.08.30</w:t>
                  </w:r>
                </w:p>
              </w:tc>
              <w:tc>
                <w:tcPr>
                  <w:tcW w:w="299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监测频次</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标干流量（m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/h）</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3361</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kern w:val="2"/>
                      <w:sz w:val="21"/>
                      <w:szCs w:val="21"/>
                      <w:vertAlign w:val="baseline"/>
                      <w:lang w:val="en-US" w:eastAsia="zh-CN" w:bidi="ar-SA"/>
                    </w:rPr>
                    <w:t>3084</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3257</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3314</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3185</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bidi="ar-SA"/>
                    </w:rPr>
                    <w:t>非甲烷总烃</w:t>
                  </w: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实测浓度(mg/m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64.8</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63.5</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62.7</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65.1</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66.8</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实测速率(kg/h)</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0.218 </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0.196 </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0.204 </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0.216 </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0.213 </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采样点位</w:t>
                  </w:r>
                </w:p>
              </w:tc>
              <w:tc>
                <w:tcPr>
                  <w:tcW w:w="598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废气治理设施（水吸收+活性炭吸附）出口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采样日期</w:t>
                  </w:r>
                </w:p>
              </w:tc>
              <w:tc>
                <w:tcPr>
                  <w:tcW w:w="299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2022.08.30</w:t>
                  </w:r>
                </w:p>
              </w:tc>
              <w:tc>
                <w:tcPr>
                  <w:tcW w:w="299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监测频次</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标干流量（m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/h）</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3742</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3698</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3946</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3721</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3854</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bidi="ar-SA"/>
                    </w:rPr>
                    <w:t>非甲烷总烃</w:t>
                  </w: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排放浓度(mg/m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7.24</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7.06</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6.88</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7.15</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7.02 </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7.34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排放速率(kg/h)</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2.71×10</w:t>
                  </w:r>
                  <w:r>
                    <w:rPr>
                      <w:rStyle w:val="48"/>
                      <w:rFonts w:hint="default" w:ascii="Times New Roman" w:hAnsi="Times New Roman" w:cs="Times New Roman" w:eastAsiaTheme="minorEastAsia"/>
                      <w:b w:val="0"/>
                      <w:bCs w:val="0"/>
                      <w:sz w:val="21"/>
                      <w:szCs w:val="21"/>
                      <w:lang w:val="en-US" w:eastAsia="zh-CN" w:bidi="ar"/>
                    </w:rPr>
                    <w:t>-2</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2.61×10</w:t>
                  </w:r>
                  <w:r>
                    <w:rPr>
                      <w:rStyle w:val="48"/>
                      <w:rFonts w:hint="default" w:ascii="Times New Roman" w:hAnsi="Times New Roman" w:cs="Times New Roman" w:eastAsiaTheme="minorEastAsia"/>
                      <w:b w:val="0"/>
                      <w:bCs w:val="0"/>
                      <w:sz w:val="21"/>
                      <w:szCs w:val="21"/>
                      <w:lang w:val="en-US" w:eastAsia="zh-CN" w:bidi="ar"/>
                    </w:rPr>
                    <w:t>-2</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2.71×10</w:t>
                  </w:r>
                  <w:r>
                    <w:rPr>
                      <w:rStyle w:val="48"/>
                      <w:rFonts w:hint="default" w:ascii="Times New Roman" w:hAnsi="Times New Roman" w:cs="Times New Roman" w:eastAsiaTheme="minorEastAsia"/>
                      <w:b w:val="0"/>
                      <w:bCs w:val="0"/>
                      <w:sz w:val="21"/>
                      <w:szCs w:val="21"/>
                      <w:lang w:val="en-US" w:eastAsia="zh-CN" w:bidi="ar"/>
                    </w:rPr>
                    <w:t>-2</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2.66×10</w:t>
                  </w:r>
                  <w:r>
                    <w:rPr>
                      <w:rStyle w:val="48"/>
                      <w:rFonts w:hint="default" w:ascii="Times New Roman" w:hAnsi="Times New Roman" w:cs="Times New Roman" w:eastAsiaTheme="minorEastAsia"/>
                      <w:b w:val="0"/>
                      <w:bCs w:val="0"/>
                      <w:sz w:val="21"/>
                      <w:szCs w:val="21"/>
                      <w:lang w:val="en-US" w:eastAsia="zh-CN" w:bidi="ar"/>
                    </w:rPr>
                    <w:t>-2</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2.71×10</w:t>
                  </w:r>
                  <w:r>
                    <w:rPr>
                      <w:rStyle w:val="48"/>
                      <w:rFonts w:hint="default" w:ascii="Times New Roman" w:hAnsi="Times New Roman" w:cs="Times New Roman" w:eastAsiaTheme="minorEastAsia"/>
                      <w:b w:val="0"/>
                      <w:bCs w:val="0"/>
                      <w:sz w:val="21"/>
                      <w:szCs w:val="21"/>
                      <w:lang w:val="en-US" w:eastAsia="zh-CN" w:bidi="ar"/>
                    </w:rPr>
                    <w:t>-2</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2.66×10</w:t>
                  </w:r>
                  <w:r>
                    <w:rPr>
                      <w:rStyle w:val="48"/>
                      <w:rFonts w:hint="default" w:ascii="Times New Roman" w:hAnsi="Times New Roman" w:cs="Times New Roman" w:eastAsiaTheme="minorEastAsia"/>
                      <w:b w:val="0"/>
                      <w:bCs w:val="0"/>
                      <w:sz w:val="21"/>
                      <w:szCs w:val="21"/>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去除效率（%）</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2"/>
                      <w:sz w:val="21"/>
                      <w:szCs w:val="21"/>
                      <w:u w:val="none"/>
                      <w:lang w:val="en-US" w:eastAsia="zh-CN" w:bidi="ar-SA"/>
                    </w:rPr>
                    <w:t>88</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87</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87</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88</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87</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采样点位</w:t>
                  </w:r>
                </w:p>
              </w:tc>
              <w:tc>
                <w:tcPr>
                  <w:tcW w:w="598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eastAsia="zh-CN"/>
                    </w:rPr>
                    <w:t>废气治理设施（UV</w:t>
                  </w:r>
                  <w:r>
                    <w:rPr>
                      <w:rFonts w:hint="default" w:ascii="Times New Roman" w:hAnsi="Times New Roman" w:cs="Times New Roman" w:eastAsiaTheme="minorEastAsia"/>
                      <w:b w:val="0"/>
                      <w:bCs w:val="0"/>
                      <w:sz w:val="21"/>
                      <w:szCs w:val="21"/>
                      <w:lang w:eastAsia="zh-CN"/>
                    </w:rPr>
                    <w:t>+活性炭吸附</w:t>
                  </w:r>
                  <w:r>
                    <w:rPr>
                      <w:rFonts w:hint="default" w:ascii="Times New Roman" w:hAnsi="Times New Roman" w:cs="Times New Roman" w:eastAsiaTheme="minorEastAsia"/>
                      <w:b w:val="0"/>
                      <w:bCs w:val="0"/>
                      <w:sz w:val="21"/>
                      <w:szCs w:val="21"/>
                      <w:lang w:val="en-US" w:eastAsia="zh-CN"/>
                    </w:rPr>
                    <w:t>）</w:t>
                  </w:r>
                  <w:r>
                    <w:rPr>
                      <w:rFonts w:hint="default" w:ascii="Times New Roman" w:hAnsi="Times New Roman" w:cs="Times New Roman" w:eastAsiaTheme="minorEastAsia"/>
                      <w:b w:val="0"/>
                      <w:bCs w:val="0"/>
                      <w:sz w:val="21"/>
                      <w:szCs w:val="21"/>
                      <w:lang w:eastAsia="zh-CN"/>
                    </w:rPr>
                    <w:t>进口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采样日期</w:t>
                  </w:r>
                </w:p>
              </w:tc>
              <w:tc>
                <w:tcPr>
                  <w:tcW w:w="299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2022.08.30</w:t>
                  </w:r>
                </w:p>
              </w:tc>
              <w:tc>
                <w:tcPr>
                  <w:tcW w:w="299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监测频次</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标干流量（m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/h）</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2364</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2085</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2354</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2271</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2306</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bidi="ar-SA"/>
                    </w:rPr>
                    <w:t>非甲烷总烃</w:t>
                  </w: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实测浓度(mg/m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61.5</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62.4</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60.9</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62.3</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63.7</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实测速率(kg/h)</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0.145 </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0.130 </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0.143 </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0.141 </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0.147 </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0.149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采样点位</w:t>
                  </w:r>
                </w:p>
              </w:tc>
              <w:tc>
                <w:tcPr>
                  <w:tcW w:w="598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废气治理设施（UV+活性炭吸附）出口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采样日期</w:t>
                  </w:r>
                </w:p>
              </w:tc>
              <w:tc>
                <w:tcPr>
                  <w:tcW w:w="299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2022.08.30</w:t>
                  </w:r>
                </w:p>
              </w:tc>
              <w:tc>
                <w:tcPr>
                  <w:tcW w:w="299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2022.08.31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监测频次</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273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标干流量（m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/h）</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2551</w:t>
                  </w:r>
                </w:p>
              </w:tc>
              <w:tc>
                <w:tcPr>
                  <w:tcW w:w="99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2843</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2913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2760</w:t>
                  </w:r>
                </w:p>
              </w:tc>
              <w:tc>
                <w:tcPr>
                  <w:tcW w:w="99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2622</w:t>
                  </w:r>
                </w:p>
              </w:tc>
              <w:tc>
                <w:tcPr>
                  <w:tcW w:w="10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2594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bidi="ar-SA"/>
                    </w:rPr>
                    <w:t>非甲烷总烃</w:t>
                  </w: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排放浓度(mg/m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vertAlign w:val="baseline"/>
                      <w:lang w:val="en-US" w:eastAsia="zh-CN"/>
                    </w:rPr>
                    <w:t>)</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6.84</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6.93</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6.67</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6.60 </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7.11 </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 xml:space="preserve">7.08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排放速率(kg/h)</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1.74×10</w:t>
                  </w:r>
                  <w:r>
                    <w:rPr>
                      <w:rStyle w:val="48"/>
                      <w:rFonts w:hint="default" w:ascii="Times New Roman" w:hAnsi="Times New Roman" w:cs="Times New Roman" w:eastAsiaTheme="minorEastAsia"/>
                      <w:b w:val="0"/>
                      <w:bCs w:val="0"/>
                      <w:sz w:val="21"/>
                      <w:szCs w:val="21"/>
                      <w:lang w:val="en-US" w:eastAsia="zh-CN" w:bidi="ar"/>
                    </w:rPr>
                    <w:t>-2</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1.97×10</w:t>
                  </w:r>
                  <w:r>
                    <w:rPr>
                      <w:rStyle w:val="48"/>
                      <w:rFonts w:hint="default" w:ascii="Times New Roman" w:hAnsi="Times New Roman" w:cs="Times New Roman" w:eastAsiaTheme="minorEastAsia"/>
                      <w:b w:val="0"/>
                      <w:bCs w:val="0"/>
                      <w:sz w:val="21"/>
                      <w:szCs w:val="21"/>
                      <w:lang w:val="en-US" w:eastAsia="zh-CN" w:bidi="ar"/>
                    </w:rPr>
                    <w:t>-2</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1.94×10</w:t>
                  </w:r>
                  <w:r>
                    <w:rPr>
                      <w:rStyle w:val="48"/>
                      <w:rFonts w:hint="default" w:ascii="Times New Roman" w:hAnsi="Times New Roman" w:cs="Times New Roman" w:eastAsiaTheme="minorEastAsia"/>
                      <w:b w:val="0"/>
                      <w:bCs w:val="0"/>
                      <w:sz w:val="21"/>
                      <w:szCs w:val="21"/>
                      <w:lang w:val="en-US" w:eastAsia="zh-CN" w:bidi="ar"/>
                    </w:rPr>
                    <w:t>-2</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1.82×10</w:t>
                  </w:r>
                  <w:r>
                    <w:rPr>
                      <w:rStyle w:val="48"/>
                      <w:rFonts w:hint="default" w:ascii="Times New Roman" w:hAnsi="Times New Roman" w:cs="Times New Roman" w:eastAsiaTheme="minorEastAsia"/>
                      <w:b w:val="0"/>
                      <w:bCs w:val="0"/>
                      <w:sz w:val="21"/>
                      <w:szCs w:val="21"/>
                      <w:lang w:val="en-US" w:eastAsia="zh-CN" w:bidi="ar"/>
                    </w:rPr>
                    <w:t>-2</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1.86×10</w:t>
                  </w:r>
                  <w:r>
                    <w:rPr>
                      <w:rStyle w:val="48"/>
                      <w:rFonts w:hint="default" w:ascii="Times New Roman" w:hAnsi="Times New Roman" w:cs="Times New Roman" w:eastAsiaTheme="minorEastAsia"/>
                      <w:b w:val="0"/>
                      <w:bCs w:val="0"/>
                      <w:sz w:val="21"/>
                      <w:szCs w:val="21"/>
                      <w:lang w:val="en-US" w:eastAsia="zh-CN" w:bidi="ar"/>
                    </w:rPr>
                    <w:t>-2</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i w:val="0"/>
                      <w:iCs w:val="0"/>
                      <w:color w:val="000000"/>
                      <w:kern w:val="0"/>
                      <w:sz w:val="21"/>
                      <w:szCs w:val="21"/>
                      <w:u w:val="none"/>
                      <w:lang w:val="en-US" w:eastAsia="zh-CN" w:bidi="ar"/>
                    </w:rPr>
                    <w:t>1.84×10</w:t>
                  </w:r>
                  <w:r>
                    <w:rPr>
                      <w:rStyle w:val="48"/>
                      <w:rFonts w:hint="default" w:ascii="Times New Roman" w:hAnsi="Times New Roman" w:cs="Times New Roman" w:eastAsiaTheme="minorEastAsia"/>
                      <w:b w:val="0"/>
                      <w:bCs w:val="0"/>
                      <w:sz w:val="21"/>
                      <w:szCs w:val="21"/>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sz w:val="21"/>
                      <w:szCs w:val="21"/>
                      <w:vertAlign w:val="baseline"/>
                      <w:lang w:val="en-US" w:eastAsia="zh-CN"/>
                    </w:rPr>
                  </w:pPr>
                </w:p>
              </w:tc>
              <w:tc>
                <w:tcPr>
                  <w:tcW w:w="16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去除效率（%）</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iCs w:val="0"/>
                      <w:color w:val="000000"/>
                      <w:kern w:val="2"/>
                      <w:sz w:val="21"/>
                      <w:szCs w:val="21"/>
                      <w:u w:val="none"/>
                      <w:lang w:val="en-US" w:eastAsia="zh-CN" w:bidi="ar-SA"/>
                    </w:rPr>
                  </w:pPr>
                  <w:r>
                    <w:rPr>
                      <w:rFonts w:hint="default" w:ascii="Times New Roman" w:hAnsi="Times New Roman" w:cs="Times New Roman" w:eastAsiaTheme="minorEastAsia"/>
                      <w:b w:val="0"/>
                      <w:bCs w:val="0"/>
                      <w:i w:val="0"/>
                      <w:iCs w:val="0"/>
                      <w:color w:val="000000"/>
                      <w:kern w:val="2"/>
                      <w:sz w:val="21"/>
                      <w:szCs w:val="21"/>
                      <w:u w:val="none"/>
                      <w:lang w:val="en-US" w:eastAsia="zh-CN" w:bidi="ar-SA"/>
                    </w:rPr>
                    <w:t>88</w:t>
                  </w:r>
                </w:p>
              </w:tc>
              <w:tc>
                <w:tcPr>
                  <w:tcW w:w="9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85</w:t>
                  </w:r>
                </w:p>
              </w:tc>
              <w:tc>
                <w:tcPr>
                  <w:tcW w:w="10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86</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87</w:t>
                  </w:r>
                </w:p>
              </w:tc>
              <w:tc>
                <w:tcPr>
                  <w:tcW w:w="99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87</w:t>
                  </w:r>
                </w:p>
              </w:tc>
              <w:tc>
                <w:tcPr>
                  <w:tcW w:w="100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88</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eastAsia"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根据上述监测结果，本项</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目产生的有组织非甲烷总烃排放浓度在6.60-7.34</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之间</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val="0"/>
                <w:bCs/>
                <w:sz w:val="24"/>
                <w:szCs w:val="24"/>
                <w:lang w:val="en-US" w:eastAsia="zh-CN"/>
              </w:rPr>
              <w:t>无组织排放监测结果；</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表15</w:t>
            </w:r>
            <w:r>
              <w:rPr>
                <w:rFonts w:hint="default" w:ascii="Times New Roman" w:hAnsi="Times New Roman" w:cs="Times New Roman" w:eastAsiaTheme="minorEastAsia"/>
                <w:b/>
                <w:bCs/>
                <w:color w:val="auto"/>
                <w:kern w:val="2"/>
                <w:sz w:val="21"/>
                <w:szCs w:val="21"/>
                <w:lang w:val="en-US" w:eastAsia="zh-CN" w:bidi="ar-SA"/>
              </w:rPr>
              <w:t>无组织</w:t>
            </w:r>
            <w:r>
              <w:rPr>
                <w:rFonts w:hint="eastAsia" w:ascii="Times New Roman" w:hAnsi="Times New Roman" w:cs="Times New Roman" w:eastAsiaTheme="minorEastAsia"/>
                <w:b/>
                <w:bCs/>
                <w:color w:val="auto"/>
                <w:kern w:val="2"/>
                <w:sz w:val="21"/>
                <w:szCs w:val="21"/>
                <w:lang w:val="en-US" w:eastAsia="zh-CN" w:bidi="ar-SA"/>
              </w:rPr>
              <w:t>废气</w:t>
            </w:r>
            <w:r>
              <w:rPr>
                <w:rFonts w:hint="default" w:ascii="Times New Roman" w:hAnsi="Times New Roman" w:cs="Times New Roman" w:eastAsiaTheme="minorEastAsia"/>
                <w:b/>
                <w:bCs/>
                <w:color w:val="auto"/>
                <w:kern w:val="2"/>
                <w:sz w:val="21"/>
                <w:szCs w:val="21"/>
                <w:lang w:val="en-US" w:eastAsia="zh-CN" w:bidi="ar-SA"/>
              </w:rPr>
              <w:t>监测结果      单位：mg/m</w:t>
            </w:r>
            <w:r>
              <w:rPr>
                <w:rFonts w:hint="default" w:ascii="Times New Roman" w:hAnsi="Times New Roman" w:cs="Times New Roman" w:eastAsiaTheme="minorEastAsia"/>
                <w:b/>
                <w:bCs/>
                <w:color w:val="auto"/>
                <w:kern w:val="2"/>
                <w:sz w:val="21"/>
                <w:szCs w:val="21"/>
                <w:vertAlign w:val="superscript"/>
                <w:lang w:val="en-US" w:eastAsia="zh-CN" w:bidi="ar-SA"/>
              </w:rPr>
              <w:t>3</w:t>
            </w:r>
          </w:p>
          <w:tbl>
            <w:tblPr>
              <w:tblStyle w:val="24"/>
              <w:tblW w:w="87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3"/>
              <w:gridCol w:w="1021"/>
              <w:gridCol w:w="873"/>
              <w:gridCol w:w="1189"/>
              <w:gridCol w:w="739"/>
              <w:gridCol w:w="900"/>
              <w:gridCol w:w="1067"/>
              <w:gridCol w:w="806"/>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采样日期</w:t>
                  </w: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监测</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lang w:eastAsia="zh-CN"/>
                    </w:rPr>
                    <w:t>点位</w:t>
                  </w:r>
                </w:p>
              </w:tc>
              <w:tc>
                <w:tcPr>
                  <w:tcW w:w="87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时间</w:t>
                  </w:r>
                </w:p>
              </w:tc>
              <w:tc>
                <w:tcPr>
                  <w:tcW w:w="118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vertAlign w:val="baseline"/>
                      <w:lang w:val="en-US" w:eastAsia="zh-CN" w:bidi="ar-SA"/>
                    </w:rPr>
                    <w:t>非甲烷总烃</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vertAlign w:val="baseline"/>
                      <w:lang w:val="en-US" w:eastAsia="zh-CN"/>
                    </w:rPr>
                    <w:t>mg/m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eastAsia="zh-CN"/>
                    </w:rPr>
                    <w:t>）</w:t>
                  </w:r>
                </w:p>
              </w:tc>
              <w:tc>
                <w:tcPr>
                  <w:tcW w:w="451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气象参数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87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118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天气</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气温</w:t>
                  </w:r>
                  <w:r>
                    <w:rPr>
                      <w:rFonts w:hint="default" w:ascii="Times New Roman" w:hAnsi="Times New Roman" w:cs="Times New Roman" w:eastAsiaTheme="minorEastAsia"/>
                      <w:sz w:val="21"/>
                      <w:szCs w:val="21"/>
                      <w:vertAlign w:val="baseline"/>
                      <w:lang w:val="en-US" w:eastAsia="zh-CN"/>
                    </w:rPr>
                    <w:t>℃</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气压</w:t>
                  </w:r>
                  <w:r>
                    <w:rPr>
                      <w:rFonts w:hint="default" w:ascii="Times New Roman" w:hAnsi="Times New Roman" w:cs="Times New Roman" w:eastAsiaTheme="minorEastAsia"/>
                      <w:sz w:val="21"/>
                      <w:szCs w:val="21"/>
                      <w:vertAlign w:val="baseline"/>
                      <w:lang w:val="en-US" w:eastAsia="zh-CN"/>
                    </w:rPr>
                    <w:t>kPa</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风向</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风速</w:t>
                  </w:r>
                  <w:r>
                    <w:rPr>
                      <w:rFonts w:hint="default" w:ascii="Times New Roman" w:hAnsi="Times New Roman" w:cs="Times New Roman" w:eastAsiaTheme="minorEastAsia"/>
                      <w:sz w:val="21"/>
                      <w:szCs w:val="21"/>
                      <w:vertAlign w:val="baseline"/>
                      <w:lang w:val="en-US" w:eastAsia="zh-CN"/>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b w:val="0"/>
                      <w:bCs/>
                      <w:sz w:val="21"/>
                      <w:szCs w:val="21"/>
                      <w:lang w:val="en-US" w:eastAsia="zh-CN"/>
                    </w:rPr>
                    <w:t>2022.08.30</w:t>
                  </w: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上风向1#</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0.44</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20.3</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100.37</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0.36</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21.8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100.22</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0.39</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100.16</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0.52</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20.3</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100.37</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0.60</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21.8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100.22</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0.58</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100.16</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0.71</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20.3</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100.37</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0.66</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21.8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100.22</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0.74</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100.16</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0.59</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20.3</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100.37</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0.77</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21.8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100.22</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0.81</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晴</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100.16</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b w:val="0"/>
                      <w:bCs/>
                      <w:sz w:val="21"/>
                      <w:szCs w:val="21"/>
                      <w:lang w:val="en-US" w:eastAsia="zh-CN"/>
                    </w:rPr>
                    <w:t>2022.08.31</w:t>
                  </w: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上风向1#</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0.41</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23.7</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100.04</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0.48</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99.93</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0.35</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99.85</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0.66</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23.7</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100.04</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0.57</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99.93</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0.60</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99.85</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0.77</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23.7</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100.04</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0.63</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99.93</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0.82</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99.85</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第一次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0.75</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23.7</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100.04</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第二次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0.83</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24.8</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99.93</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12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1"/>
                      <w:szCs w:val="21"/>
                      <w:lang w:val="en-US" w:eastAsia="zh-CN"/>
                    </w:rPr>
                  </w:pPr>
                </w:p>
              </w:tc>
              <w:tc>
                <w:tcPr>
                  <w:tcW w:w="10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8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第三次</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0.67</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多云</w:t>
                  </w:r>
                </w:p>
              </w:tc>
              <w:tc>
                <w:tcPr>
                  <w:tcW w:w="9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26.5</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99.85</w:t>
                  </w:r>
                </w:p>
              </w:tc>
              <w:tc>
                <w:tcPr>
                  <w:tcW w:w="8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西南</w:t>
                  </w:r>
                </w:p>
              </w:tc>
              <w:tc>
                <w:tcPr>
                  <w:tcW w:w="100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根据上述监测结果，本项无组织废气中</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非甲烷总烃排放浓度满足《关于全省开展工业企业挥发性有机物专项治理工作中排放建议值的通知》（豫环攻坚办〔2017〕162号）。</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16</w:t>
            </w:r>
            <w:r>
              <w:rPr>
                <w:rFonts w:hint="default" w:ascii="Times New Roman" w:hAnsi="Times New Roman" w:cs="Times New Roman" w:eastAsiaTheme="minorEastAsia"/>
                <w:b/>
                <w:sz w:val="21"/>
                <w:szCs w:val="21"/>
              </w:rPr>
              <w:t xml:space="preserve"> 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2766"/>
              <w:gridCol w:w="3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26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采样点位</w:t>
                  </w: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监测频次</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26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河南省景康医疗器械有限公司厂界四周</w:t>
                  </w: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Cs/>
                      <w:sz w:val="21"/>
                      <w:szCs w:val="21"/>
                    </w:rPr>
                    <w:t>连续监测</w:t>
                  </w:r>
                  <w:r>
                    <w:rPr>
                      <w:rFonts w:hint="default" w:ascii="Times New Roman" w:hAnsi="Times New Roman" w:cs="Times New Roman" w:eastAsiaTheme="minorEastAsia"/>
                      <w:bCs/>
                      <w:sz w:val="21"/>
                      <w:szCs w:val="21"/>
                      <w:lang w:val="en-US" w:eastAsia="zh-CN"/>
                    </w:rPr>
                    <w:t>两</w:t>
                  </w:r>
                  <w:r>
                    <w:rPr>
                      <w:rFonts w:hint="default" w:ascii="Times New Roman" w:hAnsi="Times New Roman" w:cs="Times New Roman" w:eastAsiaTheme="minorEastAsia"/>
                      <w:bCs/>
                      <w:sz w:val="21"/>
                      <w:szCs w:val="21"/>
                    </w:rPr>
                    <w:t>天，</w:t>
                  </w:r>
                  <w:r>
                    <w:rPr>
                      <w:rFonts w:hint="default" w:ascii="Times New Roman" w:hAnsi="Times New Roman" w:cs="Times New Roman" w:eastAsiaTheme="minorEastAsia"/>
                      <w:bCs/>
                      <w:sz w:val="21"/>
                      <w:szCs w:val="21"/>
                      <w:lang w:eastAsia="zh-CN"/>
                    </w:rPr>
                    <w:t>每天</w:t>
                  </w:r>
                  <w:r>
                    <w:rPr>
                      <w:rFonts w:hint="default" w:ascii="Times New Roman" w:hAnsi="Times New Roman" w:cs="Times New Roman" w:eastAsiaTheme="minorEastAsia"/>
                      <w:bCs/>
                      <w:sz w:val="21"/>
                      <w:szCs w:val="21"/>
                      <w:lang w:val="en-US" w:eastAsia="zh-CN"/>
                    </w:rPr>
                    <w:t>昼间一次</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检测点位</w:t>
                  </w:r>
                </w:p>
              </w:tc>
              <w:tc>
                <w:tcPr>
                  <w:tcW w:w="276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检测时间</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276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vertAlign w:val="baseline"/>
                      <w:lang w:val="en-US" w:eastAsia="zh-CN"/>
                    </w:rPr>
                    <w:t>东厂界</w:t>
                  </w: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2022.08.30</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2022.08.31</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南厂界</w:t>
                  </w: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2022.08.30</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2022.08.31</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52</w:t>
                  </w:r>
                </w:p>
              </w:tc>
            </w:tr>
            <w:tr>
              <w:tblPrEx>
                <w:tblLayout w:type="fixed"/>
                <w:tblCellMar>
                  <w:top w:w="0" w:type="dxa"/>
                  <w:left w:w="108" w:type="dxa"/>
                  <w:bottom w:w="0" w:type="dxa"/>
                  <w:right w:w="108" w:type="dxa"/>
                </w:tblCellMar>
              </w:tblPrEx>
              <w:trPr>
                <w:trHeight w:val="109" w:hRule="atLeast"/>
                <w:jc w:val="center"/>
              </w:trPr>
              <w:tc>
                <w:tcPr>
                  <w:tcW w:w="267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西厂界</w:t>
                  </w: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2022.08.30</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2022.08.31</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67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北厂界</w:t>
                  </w: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2022.08.30</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jc w:val="center"/>
              </w:trPr>
              <w:tc>
                <w:tcPr>
                  <w:tcW w:w="267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p>
              </w:tc>
              <w:tc>
                <w:tcPr>
                  <w:tcW w:w="27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2022.08.31</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53</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52-56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dB（A）间，能够达到《工业企业厂界环境噪声排放标准》（GB12348-2008）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类标准要求。</w:t>
            </w: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textAlignment w:val="auto"/>
              <w:outlineLvl w:val="9"/>
              <w:rPr>
                <w:rFonts w:hint="default" w:ascii="Times New Roman" w:hAnsi="Times New Roman" w:eastAsia="仿宋_GB2312" w:cs="Times New Roman"/>
                <w:color w:val="FF0000"/>
                <w:sz w:val="21"/>
                <w:szCs w:val="21"/>
                <w:lang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2" w:hRule="atLeast"/>
          <w:jc w:val="center"/>
        </w:trPr>
        <w:tc>
          <w:tcPr>
            <w:tcW w:w="8924" w:type="dxa"/>
            <w:vAlign w:val="top"/>
          </w:tcPr>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5"/>
              <w:pageBreakBefore w:val="0"/>
              <w:widowControl/>
              <w:numPr>
                <w:ilvl w:val="0"/>
                <w:numId w:val="4"/>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目产生的有组织非甲烷总烃排放浓度在6.60-7.34</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之间</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vertAlign w:val="baseline"/>
                <w:lang w:val="en-US" w:eastAsia="zh-CN"/>
              </w:rPr>
              <w:t>。</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52-56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dB（A）间，能够达到《工业企业厂界环境噪声排放标准》（GB12348-2008）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类标准要求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本项目不涉及废水排放。</w:t>
            </w: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河南省</w:t>
      </w:r>
      <w:r>
        <w:rPr>
          <w:rFonts w:hint="eastAsia" w:ascii="Times New Roman" w:hAnsi="Times New Roman" w:cs="Times New Roman"/>
          <w:color w:val="auto"/>
          <w:szCs w:val="21"/>
          <w:lang w:val="en-US" w:eastAsia="zh-CN"/>
        </w:rPr>
        <w:t>景康</w:t>
      </w:r>
      <w:r>
        <w:rPr>
          <w:rFonts w:hint="default" w:ascii="Times New Roman" w:hAnsi="Times New Roman" w:cs="Times New Roman"/>
          <w:color w:val="auto"/>
          <w:szCs w:val="21"/>
          <w:lang w:val="en-US" w:eastAsia="zh-CN"/>
        </w:rPr>
        <w:t>医疗器械有限公司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24"/>
        <w:tblW w:w="21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exact"/>
          <w:jc w:val="center"/>
        </w:trPr>
        <w:tc>
          <w:tcPr>
            <w:tcW w:w="697" w:type="dxa"/>
            <w:vMerge w:val="restart"/>
            <w:shd w:val="clear" w:color="auto" w:fill="auto"/>
            <w:textDirection w:val="tbRlV"/>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年产1.8万件Ⅰ、Ⅱ类医用卫生材料项目</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长垣市满村镇省道</w:t>
            </w:r>
            <w:r>
              <w:rPr>
                <w:rFonts w:hint="default" w:ascii="Times New Roman" w:hAnsi="Times New Roman" w:cs="Times New Roman" w:eastAsiaTheme="minorEastAsia"/>
                <w:b w:val="0"/>
                <w:color w:val="auto"/>
                <w:lang w:val="en-US" w:eastAsia="zh-CN"/>
              </w:rPr>
              <w:t>308线西大杨楼以南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C2770卫生材料及医药用品制造</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 xml:space="preserve"> 新建  </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 xml:space="preserve">改扩建 </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技术改造</w:t>
            </w:r>
          </w:p>
        </w:tc>
        <w:tc>
          <w:tcPr>
            <w:tcW w:w="2672" w:type="dxa"/>
            <w:gridSpan w:val="3"/>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w:t>
            </w:r>
            <w:r>
              <w:rPr>
                <w:rFonts w:hint="eastAsia" w:ascii="Times New Roman" w:hAnsi="Times New Roman" w:cs="Times New Roman"/>
                <w:b w:val="0"/>
                <w:color w:val="000000" w:themeColor="text1"/>
                <w:lang w:val="en-US" w:eastAsia="zh-CN"/>
                <w14:textFill>
                  <w14:solidFill>
                    <w14:schemeClr w14:val="tx1"/>
                  </w14:solidFill>
                </w14:textFill>
              </w:rPr>
              <w:t>114.772270</w:t>
            </w:r>
          </w:p>
        </w:tc>
        <w:tc>
          <w:tcPr>
            <w:tcW w:w="2754" w:type="dxa"/>
            <w:gridSpan w:val="4"/>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w:t>
            </w:r>
            <w:r>
              <w:rPr>
                <w:rFonts w:hint="eastAsia" w:ascii="Times New Roman" w:hAnsi="Times New Roman" w:cs="Times New Roman"/>
                <w:b w:val="0"/>
                <w:color w:val="000000" w:themeColor="text1"/>
                <w:lang w:val="en-US" w:eastAsia="zh-CN"/>
                <w14:textFill>
                  <w14:solidFill>
                    <w14:schemeClr w14:val="tx1"/>
                  </w14:solidFill>
                </w14:textFill>
              </w:rPr>
              <w:t>35.131437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年产1.8万件Ⅰ、Ⅱ类医用卫生材料</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一期</w:t>
            </w:r>
            <w:r>
              <w:rPr>
                <w:rFonts w:hint="default" w:ascii="Times New Roman" w:hAnsi="Times New Roman" w:cs="Times New Roman"/>
                <w:color w:val="auto"/>
              </w:rPr>
              <w:t>生产能力</w:t>
            </w:r>
          </w:p>
        </w:tc>
        <w:tc>
          <w:tcPr>
            <w:tcW w:w="2986" w:type="dxa"/>
            <w:gridSpan w:val="2"/>
            <w:tcBorders>
              <w:right w:val="single" w:color="auto" w:sz="4" w:space="0"/>
            </w:tcBorders>
            <w:shd w:val="clear" w:color="auto" w:fill="auto"/>
            <w:vAlign w:val="center"/>
          </w:tcPr>
          <w:p>
            <w:pPr>
              <w:pStyle w:val="3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年产1.8万件Ⅰ、Ⅱ类医用卫生材料</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河北</w:t>
            </w:r>
            <w:r>
              <w:rPr>
                <w:rFonts w:hint="eastAsia" w:ascii="Times New Roman" w:hAnsi="Times New Roman" w:cs="Times New Roman" w:eastAsiaTheme="minorEastAsia"/>
                <w:b w:val="0"/>
                <w:color w:val="auto"/>
                <w:lang w:val="en-US" w:eastAsia="zh-CN"/>
              </w:rPr>
              <w:t>景略环境影响评价</w:t>
            </w:r>
            <w:r>
              <w:rPr>
                <w:rFonts w:hint="default" w:ascii="Times New Roman" w:hAnsi="Times New Roman" w:cs="Times New Roman" w:eastAsiaTheme="minorEastAsia"/>
                <w:b w:val="0"/>
                <w:color w:val="auto"/>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eastAsia="zh-CN"/>
              </w:rPr>
            </w:pPr>
            <w:r>
              <w:rPr>
                <w:rFonts w:hint="eastAsia" w:ascii="Times New Roman" w:hAnsi="Times New Roman" w:cs="Times New Roman"/>
                <w:b w:val="0"/>
                <w:bCs/>
                <w:color w:val="auto"/>
                <w:sz w:val="18"/>
                <w:szCs w:val="18"/>
                <w:lang w:eastAsia="zh-CN"/>
              </w:rPr>
              <w:t>长垣市生态环境分局</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2021</w:t>
            </w:r>
            <w:r>
              <w:rPr>
                <w:rFonts w:hint="default"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51</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8"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021</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22</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8</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top"/>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河南省景康医疗器械有限公司</w:t>
            </w:r>
          </w:p>
        </w:tc>
        <w:tc>
          <w:tcPr>
            <w:tcW w:w="2796"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b w:val="0"/>
                <w:color w:val="auto"/>
                <w:lang w:eastAsia="zh-CN"/>
              </w:rPr>
            </w:pPr>
            <w:r>
              <w:rPr>
                <w:rFonts w:hint="default" w:ascii="Times New Roman" w:hAnsi="Times New Roman" w:eastAsia="微软雅黑" w:cs="Times New Roman"/>
                <w:b w:val="0"/>
                <w:color w:val="auto"/>
                <w:lang w:val="en-US" w:eastAsia="zh-CN"/>
              </w:rPr>
              <w:t>河南</w:t>
            </w:r>
            <w:r>
              <w:rPr>
                <w:rFonts w:hint="eastAsia" w:ascii="Times New Roman" w:hAnsi="Times New Roman" w:cs="Times New Roman"/>
                <w:b w:val="0"/>
                <w:color w:val="auto"/>
                <w:lang w:val="en-US" w:eastAsia="zh-CN"/>
              </w:rPr>
              <w:t>中弘国泰</w:t>
            </w:r>
            <w:r>
              <w:rPr>
                <w:rFonts w:hint="default" w:ascii="Times New Roman" w:hAnsi="Times New Roman" w:eastAsia="微软雅黑" w:cs="Times New Roman"/>
                <w:b w:val="0"/>
                <w:color w:val="auto"/>
                <w:lang w:val="en-US" w:eastAsia="zh-CN"/>
              </w:rPr>
              <w:t>检测技术有限公司</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500</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26.2</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500</w:t>
            </w:r>
          </w:p>
        </w:tc>
        <w:tc>
          <w:tcPr>
            <w:tcW w:w="2796" w:type="dxa"/>
            <w:gridSpan w:val="2"/>
            <w:tcBorders>
              <w:top w:val="single" w:color="auto" w:sz="4" w:space="0"/>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color w:val="auto"/>
                <w:lang w:val="en-US" w:eastAsia="zh-CN"/>
              </w:rPr>
              <w:t>26.2</w:t>
            </w:r>
          </w:p>
        </w:tc>
        <w:tc>
          <w:tcPr>
            <w:tcW w:w="2087"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color w:val="auto"/>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1701"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1471"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279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97" w:type="dxa"/>
            <w:vMerge w:val="continue"/>
            <w:tcBorders>
              <w:bottom w:val="single" w:color="auto" w:sz="4" w:space="0"/>
            </w:tcBorders>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val="en-US" w:eastAsia="zh-CN"/>
              </w:rPr>
            </w:pPr>
            <w:r>
              <w:rPr>
                <w:rFonts w:hint="eastAsia" w:ascii="Times New Roman" w:hAnsi="Times New Roman" w:cs="Times New Roman"/>
                <w:color w:val="auto"/>
                <w:lang w:val="en-US" w:eastAsia="zh-CN"/>
              </w:rPr>
              <w:t>/</w:t>
            </w:r>
          </w:p>
        </w:tc>
        <w:tc>
          <w:tcPr>
            <w:tcW w:w="279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2400</w:t>
            </w:r>
            <w:r>
              <w:rPr>
                <w:rFonts w:hint="default" w:ascii="Times New Roman" w:hAnsi="Times New Roman" w:cs="Times New Roman"/>
                <w:b w:val="0"/>
                <w:color w:val="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2" w:hRule="atLeast"/>
          <w:jc w:val="center"/>
        </w:trPr>
        <w:tc>
          <w:tcPr>
            <w:tcW w:w="3131" w:type="dxa"/>
            <w:gridSpan w:val="3"/>
            <w:tcBorders>
              <w:top w:val="single" w:color="auto" w:sz="4" w:space="0"/>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河南省景康医疗器械有限公司</w:t>
            </w:r>
          </w:p>
        </w:tc>
        <w:tc>
          <w:tcPr>
            <w:tcW w:w="7006" w:type="dxa"/>
            <w:gridSpan w:val="5"/>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br w:type="textWrapping"/>
            </w:r>
            <w:r>
              <w:rPr>
                <w:rFonts w:hint="default" w:ascii="Times New Roman" w:hAnsi="Times New Roman" w:cs="Times New Roman" w:eastAsiaTheme="minorEastAsia"/>
                <w:b w:val="0"/>
                <w:color w:val="auto"/>
                <w:lang w:val="en-US" w:eastAsia="zh-CN"/>
              </w:rPr>
              <w:t>91410728MA3XC2P45B</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2022年7月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5" w:hRule="atLeast"/>
          <w:jc w:val="center"/>
        </w:trPr>
        <w:tc>
          <w:tcPr>
            <w:tcW w:w="697" w:type="dxa"/>
            <w:vMerge w:val="restart"/>
            <w:tcBorders>
              <w:top w:val="nil"/>
            </w:tcBorders>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restart"/>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0.322</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0.0323</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二甲苯</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4"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0.000</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34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6" w:hRule="atLeast"/>
          <w:jc w:val="center"/>
        </w:trPr>
        <w:tc>
          <w:tcPr>
            <w:tcW w:w="697" w:type="dxa"/>
            <w:vMerge w:val="continue"/>
            <w:shd w:val="clear" w:color="auto" w:fill="auto"/>
            <w:vAlign w:val="top"/>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szCs w:val="15"/>
              </w:rPr>
            </w:pPr>
          </w:p>
        </w:tc>
        <w:tc>
          <w:tcPr>
            <w:tcW w:w="643" w:type="dxa"/>
            <w:vMerge w:val="continue"/>
            <w:shd w:val="clear" w:color="auto" w:fill="auto"/>
            <w:vAlign w:val="top"/>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szCs w:val="15"/>
              </w:rPr>
            </w:pP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FF0000"/>
                <w:lang w:eastAsia="zh-CN"/>
              </w:rPr>
            </w:pPr>
            <w:r>
              <w:rPr>
                <w:rFonts w:hint="eastAsia" w:ascii="Times New Roman" w:hAnsi="Times New Roman" w:cs="Times New Roman"/>
                <w:color w:val="000000" w:themeColor="text1"/>
                <w:lang w:eastAsia="zh-CN"/>
                <w14:textFill>
                  <w14:solidFill>
                    <w14:schemeClr w14:val="tx1"/>
                  </w14:solidFill>
                </w14:textFill>
              </w:rPr>
              <w:t>总氮</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34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bl>
    <w:p>
      <w:pPr>
        <w:ind w:firstLine="360"/>
        <w:rPr>
          <w:rFonts w:hint="default" w:ascii="Times New Roman" w:hAnsi="Times New Roman" w:cs="Times New Roman"/>
          <w:color w:val="auto"/>
          <w:sz w:val="18"/>
          <w:highlight w:val="none"/>
        </w:rPr>
        <w:sectPr>
          <w:footerReference r:id="rId6" w:type="default"/>
          <w:type w:val="oddPage"/>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rPr>
          <w:rFonts w:hint="default" w:ascii="Times New Roman" w:hAnsi="Times New Roman" w:cs="Times New Roman" w:eastAsiaTheme="minorEastAsia"/>
          <w:b/>
          <w:bCs/>
          <w:sz w:val="30"/>
          <w:szCs w:val="30"/>
          <w:lang w:eastAsia="zh-CN"/>
        </w:rPr>
      </w:pPr>
      <w:r>
        <w:rPr>
          <w:rStyle w:val="36"/>
          <w:rFonts w:hint="default" w:ascii="Times New Roman" w:hAnsi="Times New Roman" w:cs="Times New Roman" w:eastAsiaTheme="minorEastAsia"/>
          <w:b/>
          <w:bCs/>
          <w:color w:val="auto"/>
          <w:sz w:val="30"/>
          <w:szCs w:val="30"/>
          <w:lang w:val="en-US" w:eastAsia="zh-CN"/>
        </w:rPr>
        <w:t>附图一 项目地理位置图</w:t>
      </w:r>
    </w:p>
    <w:p>
      <w:pPr>
        <w:pStyle w:val="5"/>
        <w:rPr>
          <w:rFonts w:hint="default"/>
          <w:lang w:eastAsia="zh-CN"/>
        </w:rPr>
        <w:sectPr>
          <w:headerReference r:id="rId7" w:type="default"/>
          <w:footerReference r:id="rId8"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2"/>
        </w:rPr>
        <mc:AlternateContent>
          <mc:Choice Requires="wps">
            <w:drawing>
              <wp:anchor distT="0" distB="0" distL="114300" distR="114300" simplePos="0" relativeHeight="251705344" behindDoc="0" locked="0" layoutInCell="1" allowOverlap="1">
                <wp:simplePos x="0" y="0"/>
                <wp:positionH relativeFrom="column">
                  <wp:posOffset>2995295</wp:posOffset>
                </wp:positionH>
                <wp:positionV relativeFrom="paragraph">
                  <wp:posOffset>3134360</wp:posOffset>
                </wp:positionV>
                <wp:extent cx="804545" cy="330200"/>
                <wp:effectExtent l="408305" t="6350" r="6350" b="74930"/>
                <wp:wrapNone/>
                <wp:docPr id="5" name="圆角矩形标注 5"/>
                <wp:cNvGraphicFramePr/>
                <a:graphic xmlns:a="http://schemas.openxmlformats.org/drawingml/2006/main">
                  <a:graphicData uri="http://schemas.microsoft.com/office/word/2010/wordprocessingShape">
                    <wps:wsp>
                      <wps:cNvSpPr/>
                      <wps:spPr>
                        <a:xfrm>
                          <a:off x="3465195" y="3693795"/>
                          <a:ext cx="804545" cy="330200"/>
                        </a:xfrm>
                        <a:prstGeom prst="wedgeRoundRectCallout">
                          <a:avLst>
                            <a:gd name="adj1" fmla="val -94830"/>
                            <a:gd name="adj2" fmla="val 6359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5.85pt;margin-top:246.8pt;height:26pt;width:63.35pt;z-index:251705344;v-text-anchor:middle;mso-width-relative:page;mso-height-relative:page;" fillcolor="#FFFFFF [3212]" filled="t" stroked="t" coordsize="21600,21600" o:gfxdata="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8/W6t2AAAAAsB&#10;AAAPAAAAAAAAAAEAIAAAACIAAABkcnMvZG93bnJldi54bWxQSwECFAAUAAAACACHTuJASB2qp8YC&#10;AABwBQAADgAAAAAAAAABACAAAAAnAQAAZHJzL2Uyb0RvYy54bWxQSwUGAAAAAAYABgBZAQAAXwYA&#10;AAAA&#10;" adj="-9683,24536,14400">
                <v:fill on="t" focussize="0,0"/>
                <v:stroke weight="1pt" color="#41719C [3204]" miterlimit="8" joinstyle="miter"/>
                <v:imagedata o:title=""/>
                <o:lock v:ext="edit" aspectratio="f"/>
                <v:textbo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v:textbox>
              </v:shape>
            </w:pict>
          </mc:Fallback>
        </mc:AlternateContent>
      </w:r>
      <w:r>
        <w:rPr>
          <w:rFonts w:hint="default" w:ascii="Times New Roman" w:hAnsi="Times New Roman" w:cs="Times New Roman" w:eastAsiaTheme="minorEastAsia"/>
          <w:b/>
          <w:bCs/>
          <w:sz w:val="30"/>
          <w:szCs w:val="30"/>
        </w:rPr>
        <mc:AlternateContent>
          <mc:Choice Requires="wps">
            <w:drawing>
              <wp:anchor distT="0" distB="0" distL="114300" distR="114300" simplePos="0" relativeHeight="251701248" behindDoc="0" locked="0" layoutInCell="1" allowOverlap="1">
                <wp:simplePos x="0" y="0"/>
                <wp:positionH relativeFrom="column">
                  <wp:posOffset>2467610</wp:posOffset>
                </wp:positionH>
                <wp:positionV relativeFrom="paragraph">
                  <wp:posOffset>3526155</wp:posOffset>
                </wp:positionV>
                <wp:extent cx="142875" cy="133350"/>
                <wp:effectExtent l="19685" t="20320" r="27940" b="17780"/>
                <wp:wrapNone/>
                <wp:docPr id="3" name="任意多边形 3"/>
                <wp:cNvGraphicFramePr/>
                <a:graphic xmlns:a="http://schemas.openxmlformats.org/drawingml/2006/main">
                  <a:graphicData uri="http://schemas.microsoft.com/office/word/2010/wordprocessingShape">
                    <wps:wsp>
                      <wps:cNvSpPr/>
                      <wps:spPr>
                        <a:xfrm>
                          <a:off x="0" y="0"/>
                          <a:ext cx="142875" cy="133350"/>
                        </a:xfrm>
                        <a:custGeom>
                          <a:avLst/>
                          <a:gdLst/>
                          <a:ahLst/>
                          <a:cxnLst>
                            <a:cxn ang="16187392">
                              <a:pos x="457200" y="0"/>
                            </a:cxn>
                            <a:cxn ang="10747904">
                              <a:pos x="0" y="349268"/>
                            </a:cxn>
                            <a:cxn ang="5373952">
                              <a:pos x="174635" y="914397"/>
                            </a:cxn>
                            <a:cxn ang="5373952">
                              <a:pos x="739764" y="914397"/>
                            </a:cxn>
                            <a:cxn ang="0">
                              <a:pos x="914399" y="349268"/>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41719C"/>
                          </a:solidFill>
                          <a:prstDash val="solid"/>
                          <a:miter/>
                          <a:headEnd type="none" w="med" len="med"/>
                          <a:tailEnd type="none" w="med" len="med"/>
                        </a:ln>
                      </wps:spPr>
                      <wps:bodyPr anchor="ctr" upright="1"/>
                    </wps:wsp>
                  </a:graphicData>
                </a:graphic>
              </wp:anchor>
            </w:drawing>
          </mc:Choice>
          <mc:Fallback>
            <w:pict>
              <v:shape id="_x0000_s1026" o:spid="_x0000_s1026" o:spt="100" style="position:absolute;left:0pt;margin-left:194.3pt;margin-top:277.65pt;height:10.5pt;width:11.25pt;z-index:251701248;v-text-anchor:middle;mso-width-relative:page;mso-height-relative:page;" fillcolor="#FF0000" filled="t" stroked="t" coordsize="914400,914400" o:gfxdata="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D8eQ7n2wAAAAsBAAAPAAAAAAAAAAEAIAAAACIA&#10;AABkcnMvZG93bnJldi54bWxQSwECFAAUAAAACACHTuJAdW9IPuoCAAAqBwAADgAAAAAAAAABACAA&#10;AAAqAQAAZHJzL2Uyb0RvYy54bWxQSwUGAAAAAAYABgBZAQAAhgYAAAAA&#10;" path="m0,349268l349271,349271,457200,0,565128,349271,914399,349268,631831,565127,739764,914397,457200,698534,174635,914397,282568,565127xe">
                <v:path o:connectlocs="457200,0;0,349268;174635,914397;739764,914397;914399,349268" o:connectangles="247,164,82,82,0"/>
                <v:fill on="t" focussize="0,0"/>
                <v:stroke weight="1pt" color="#41719C" joinstyle="miter"/>
                <v:imagedata o:title=""/>
                <o:lock v:ext="edit" aspectratio="f"/>
              </v:shape>
            </w:pict>
          </mc:Fallback>
        </mc:AlternateContent>
      </w:r>
      <w:r>
        <w:rPr>
          <w:sz w:val="22"/>
        </w:rPr>
        <mc:AlternateContent>
          <mc:Choice Requires="wps">
            <w:drawing>
              <wp:anchor distT="0" distB="0" distL="114300" distR="114300" simplePos="0" relativeHeight="251704320" behindDoc="0" locked="0" layoutInCell="1" allowOverlap="1">
                <wp:simplePos x="0" y="0"/>
                <wp:positionH relativeFrom="column">
                  <wp:posOffset>17145</wp:posOffset>
                </wp:positionH>
                <wp:positionV relativeFrom="paragraph">
                  <wp:posOffset>13335</wp:posOffset>
                </wp:positionV>
                <wp:extent cx="5951855" cy="8533765"/>
                <wp:effectExtent l="9525" t="0" r="12700" b="21590"/>
                <wp:wrapNone/>
                <wp:docPr id="2" name="矩形 2"/>
                <wp:cNvGraphicFramePr/>
                <a:graphic xmlns:a="http://schemas.openxmlformats.org/drawingml/2006/main">
                  <a:graphicData uri="http://schemas.microsoft.com/office/word/2010/wordprocessingShape">
                    <wps:wsp>
                      <wps:cNvSpPr/>
                      <wps:spPr>
                        <a:xfrm>
                          <a:off x="823595" y="1156970"/>
                          <a:ext cx="5951855" cy="85337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5pt;height:671.95pt;width:468.65pt;z-index:251704320;v-text-anchor:middle;mso-width-relative:page;mso-height-relative:page;" filled="f" stroked="t" coordsize="21600,21600" o:gfxdata="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T1WNNgA&#10;AAAIAQAADwAAAAAAAAABACAAAAAiAAAAZHJzL2Rvd25yZXYueG1sUEsBAhQAFAAAAAgAh07iQJNa&#10;041YAgAAiQQAAA4AAAAAAAAAAQAgAAAAJwEAAGRycy9lMm9Eb2MueG1sUEsFBgAAAAAGAAYAWQEA&#10;APEFAAAAAA==&#10;">
                <v:fill on="f" focussize="0,0"/>
                <v:stroke weight="1.5pt" color="#000000 [3213]" miterlimit="8" joinstyle="miter"/>
                <v:imagedata o:title=""/>
                <o:lock v:ext="edit" aspectratio="f"/>
              </v:rect>
            </w:pict>
          </mc:Fallback>
        </mc:AlternateContent>
      </w:r>
      <w:r>
        <w:rPr>
          <w:rFonts w:hint="default"/>
          <w:lang w:eastAsia="zh-CN"/>
        </w:rPr>
        <w:drawing>
          <wp:inline distT="0" distB="0" distL="114300" distR="114300">
            <wp:extent cx="5946140" cy="8521065"/>
            <wp:effectExtent l="0" t="0" r="12700" b="13335"/>
            <wp:docPr id="1" name="图片 1" descr="chang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ngyuan"/>
                    <pic:cNvPicPr>
                      <a:picLocks noChangeAspect="1"/>
                    </pic:cNvPicPr>
                  </pic:nvPicPr>
                  <pic:blipFill>
                    <a:blip r:embed="rId15"/>
                    <a:stretch>
                      <a:fillRect/>
                    </a:stretch>
                  </pic:blipFill>
                  <pic:spPr>
                    <a:xfrm>
                      <a:off x="0" y="0"/>
                      <a:ext cx="5946140" cy="8521065"/>
                    </a:xfrm>
                    <a:prstGeom prst="rect">
                      <a:avLst/>
                    </a:prstGeom>
                  </pic:spPr>
                </pic:pic>
              </a:graphicData>
            </a:graphic>
          </wp:inline>
        </w:drawing>
      </w:r>
    </w:p>
    <w:p>
      <w:pPr>
        <w:jc w:val="left"/>
        <w:rPr>
          <w:rFonts w:hint="default"/>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pStyle w:val="5"/>
        <w:jc w:val="center"/>
        <w:rPr>
          <w:rFonts w:hint="eastAsia"/>
          <w:lang w:val="en-US" w:eastAsia="zh-CN"/>
        </w:rPr>
      </w:pPr>
      <w:r>
        <w:drawing>
          <wp:inline distT="0" distB="0" distL="114300" distR="114300">
            <wp:extent cx="9214485" cy="5442585"/>
            <wp:effectExtent l="0" t="0" r="5715" b="571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6"/>
                    <a:stretch>
                      <a:fillRect/>
                    </a:stretch>
                  </pic:blipFill>
                  <pic:spPr>
                    <a:xfrm>
                      <a:off x="0" y="0"/>
                      <a:ext cx="9214485" cy="5442585"/>
                    </a:xfrm>
                    <a:prstGeom prst="rect">
                      <a:avLst/>
                    </a:prstGeom>
                    <a:noFill/>
                    <a:ln w="9525">
                      <a:noFill/>
                    </a:ln>
                  </pic:spPr>
                </pic:pic>
              </a:graphicData>
            </a:graphic>
          </wp:inline>
        </w:drawing>
      </w:r>
    </w:p>
    <w:p>
      <w:pPr>
        <w:rPr>
          <w:rFonts w:hint="eastAsia" w:eastAsia="微软雅黑"/>
          <w:lang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left"/>
        <w:rPr>
          <w:rFonts w:hint="default"/>
          <w:lang w:val="en-US" w:eastAsia="zh-CN"/>
        </w:rPr>
      </w:pPr>
      <w:bookmarkStart w:id="5" w:name="_Toc16125"/>
      <w:r>
        <w:rPr>
          <w:rFonts w:hint="default" w:ascii="Times New Roman" w:hAnsi="Times New Roman" w:cs="Times New Roman" w:eastAsiaTheme="minorEastAsia"/>
          <w:b/>
          <w:bCs/>
          <w:color w:val="auto"/>
          <w:sz w:val="30"/>
          <w:szCs w:val="30"/>
          <w:lang w:val="en-US" w:eastAsia="zh-CN"/>
        </w:rPr>
        <w:t>附图三 项目平面布置图</w:t>
      </w:r>
      <w:bookmarkEnd w:id="5"/>
      <w:bookmarkStart w:id="6" w:name="_Toc1520"/>
    </w:p>
    <w:p>
      <w:pPr>
        <w:jc w:val="center"/>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44870" cy="7128510"/>
            <wp:effectExtent l="0" t="0" r="17780" b="1524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7"/>
                    <a:stretch>
                      <a:fillRect/>
                    </a:stretch>
                  </pic:blipFill>
                  <pic:spPr>
                    <a:xfrm>
                      <a:off x="0" y="0"/>
                      <a:ext cx="5944870" cy="712851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附图</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五</w:t>
      </w: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 xml:space="preserve"> 项目现状图</w:t>
      </w:r>
      <w:bookmarkEnd w:id="6"/>
    </w:p>
    <w:p>
      <w:pPr>
        <w:pStyle w:val="15"/>
        <w:ind w:left="0" w:leftChars="0" w:firstLine="0" w:firstLineChars="0"/>
        <w:rPr>
          <w:rFonts w:hint="default"/>
          <w:lang w:val="en-US" w:eastAsia="zh-CN"/>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eastAsia="zh-CN"/>
        </w:rPr>
      </w:pPr>
      <w:r>
        <w:rPr>
          <w:rFonts w:hint="default" w:ascii="Times New Roman" w:hAnsi="Times New Roman" w:cs="Times New Roman" w:eastAsiaTheme="minorEastAsia"/>
          <w:color w:val="auto"/>
          <w:sz w:val="30"/>
          <w:szCs w:val="30"/>
          <w:lang w:eastAsia="zh-CN"/>
        </w:rPr>
        <w:br w:type="page"/>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bookmarkStart w:id="7" w:name="_Toc20703"/>
    </w:p>
    <w:p>
      <w:pPr>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lang w:val="en-US" w:eastAsia="zh-CN"/>
        </w:rPr>
        <w:drawing>
          <wp:inline distT="0" distB="0" distL="114300" distR="114300">
            <wp:extent cx="5586730" cy="7639050"/>
            <wp:effectExtent l="0" t="0" r="13970" b="0"/>
            <wp:docPr id="21" name="图片 21" descr="105a3cee5f632b87fd39a7acc22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5a3cee5f632b87fd39a7acc220979"/>
                    <pic:cNvPicPr>
                      <a:picLocks noChangeAspect="1"/>
                    </pic:cNvPicPr>
                  </pic:nvPicPr>
                  <pic:blipFill>
                    <a:blip r:embed="rId18"/>
                    <a:srcRect r="5631" b="3373"/>
                    <a:stretch>
                      <a:fillRect/>
                    </a:stretch>
                  </pic:blipFill>
                  <pic:spPr>
                    <a:xfrm>
                      <a:off x="0" y="0"/>
                      <a:ext cx="5586730" cy="7639050"/>
                    </a:xfrm>
                    <a:prstGeom prst="rect">
                      <a:avLst/>
                    </a:prstGeom>
                  </pic:spPr>
                </pic:pic>
              </a:graphicData>
            </a:graphic>
          </wp:inline>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7"/>
    </w:p>
    <w:p>
      <w:pPr>
        <w:rPr>
          <w:rFonts w:hint="eastAsia"/>
          <w:lang w:eastAsia="zh-CN"/>
        </w:rPr>
      </w:pPr>
      <w:r>
        <w:drawing>
          <wp:inline distT="0" distB="0" distL="114300" distR="114300">
            <wp:extent cx="5270500" cy="7477125"/>
            <wp:effectExtent l="0" t="0" r="6350"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9"/>
                    <a:stretch>
                      <a:fillRect/>
                    </a:stretch>
                  </pic:blipFill>
                  <pic:spPr>
                    <a:xfrm>
                      <a:off x="0" y="0"/>
                      <a:ext cx="5270500" cy="7477125"/>
                    </a:xfrm>
                    <a:prstGeom prst="rect">
                      <a:avLst/>
                    </a:prstGeom>
                    <a:noFill/>
                    <a:ln w="9525">
                      <a:noFill/>
                    </a:ln>
                  </pic:spPr>
                </pic:pic>
              </a:graphicData>
            </a:graphic>
          </wp:inline>
        </w:drawing>
      </w:r>
      <w:bookmarkStart w:id="8" w:name="_GoBack"/>
      <w:bookmarkEnd w:id="8"/>
    </w:p>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im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F Pro Tex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Plotter">
    <w:altName w:val="Tahoma"/>
    <w:panose1 w:val="00000000000000000000"/>
    <w:charset w:val="00"/>
    <w:family w:val="auto"/>
    <w:pitch w:val="default"/>
    <w:sig w:usb0="00000000" w:usb1="00000000" w:usb2="81609000" w:usb3="00000000" w:csb0="8163D74C" w:csb1="BFF7D17E"/>
  </w:font>
  <w:font w:name="Arial Narrow">
    <w:altName w:val="Arial"/>
    <w:panose1 w:val="020B0606020202030204"/>
    <w:charset w:val="00"/>
    <w:family w:val="swiss"/>
    <w:pitch w:val="default"/>
    <w:sig w:usb0="00000000" w:usb1="00000000" w:usb2="00000000" w:usb3="00000000" w:csb0="0000009F"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Lucida Console">
    <w:panose1 w:val="020B0609040504020204"/>
    <w:charset w:val="00"/>
    <w:family w:val="auto"/>
    <w:pitch w:val="default"/>
    <w:sig w:usb0="8000028F" w:usb1="00001800" w:usb2="00000000" w:usb3="00000000" w:csb0="0000001F" w:csb1="D7D70000"/>
  </w:font>
  <w:font w:name="Calibri Light">
    <w:panose1 w:val="020F0302020204030204"/>
    <w:charset w:val="00"/>
    <w:family w:val="auto"/>
    <w:pitch w:val="default"/>
    <w:sig w:usb0="E0002AFF" w:usb1="C000247B"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叶根友毛笔行书2.0版">
    <w:altName w:val="宋体"/>
    <w:panose1 w:val="02010601030101010101"/>
    <w:charset w:val="86"/>
    <w:family w:val="auto"/>
    <w:pitch w:val="default"/>
    <w:sig w:usb0="00000000" w:usb1="00000000" w:usb2="00000000" w:usb3="00000000" w:csb0="00040000" w:csb1="00000000"/>
  </w:font>
  <w:font w:name="time">
    <w:altName w:val="Segoe Print"/>
    <w:panose1 w:val="00000000000000000000"/>
    <w:charset w:val="00"/>
    <w:family w:val="auto"/>
    <w:pitch w:val="default"/>
    <w:sig w:usb0="00000000" w:usb1="00000000" w:usb2="00000000" w:usb3="00000000" w:csb0="00000000" w:csb1="00000000"/>
  </w:font>
  <w:font w:name="题目是">
    <w:altName w:val="Segoe Print"/>
    <w:panose1 w:val="00000000000000000000"/>
    <w:charset w:val="00"/>
    <w:family w:val="auto"/>
    <w:pitch w:val="default"/>
    <w:sig w:usb0="00000000" w:usb1="00000000" w:usb2="00000000" w:usb3="00000000" w:csb0="00000000" w:csb1="00000000"/>
  </w:font>
  <w:font w:name="题目">
    <w:altName w:val="Segoe Print"/>
    <w:panose1 w:val="00000000000000000000"/>
    <w:charset w:val="00"/>
    <w:family w:val="auto"/>
    <w:pitch w:val="default"/>
    <w:sig w:usb0="00000000" w:usb1="00000000" w:usb2="00000000" w:usb3="00000000" w:csb0="00000000" w:csb1="00000000"/>
  </w:font>
  <w:font w:name="题">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Calibri">
    <w:panose1 w:val="020F0502020204030204"/>
    <w:charset w:val="86"/>
    <w:family w:val="auto"/>
    <w:pitch w:val="default"/>
    <w:sig w:usb0="E0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HiddenHorzOCR-Identity-H">
    <w:altName w:val="微软雅黑"/>
    <w:panose1 w:val="00000000000000000000"/>
    <w:charset w:val="00"/>
    <w:family w:val="auto"/>
    <w:pitch w:val="default"/>
    <w:sig w:usb0="00000000" w:usb1="00000000" w:usb2="00000000" w:usb3="00000000" w:csb0="00040001" w:csb1="00000000"/>
  </w:font>
  <w:font w:name="TimesNewRomanPSMT">
    <w:altName w:val="黑体"/>
    <w:panose1 w:val="00000000000000000000"/>
    <w:charset w:val="86"/>
    <w:family w:val="auto"/>
    <w:pitch w:val="default"/>
    <w:sig w:usb0="00000000" w:usb1="00000000" w:usb2="00000010" w:usb3="00000000" w:csb0="00040000" w:csb1="00000000"/>
  </w:font>
  <w:font w:name="ISOCTEUR">
    <w:panose1 w:val="020B0609020202020204"/>
    <w:charset w:val="00"/>
    <w:family w:val="modern"/>
    <w:pitch w:val="default"/>
    <w:sig w:usb0="00000287" w:usb1="00000000" w:usb2="00000000" w:usb3="00000000" w:csb0="4000009F" w:csb1="DFD70000"/>
  </w:font>
  <w:font w:name="monospace">
    <w:altName w:val="Segoe Print"/>
    <w:panose1 w:val="00000000000000000000"/>
    <w:charset w:val="00"/>
    <w:family w:val="auto"/>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jw-icons">
    <w:altName w:val="Segoe Print"/>
    <w:panose1 w:val="00000000000000000000"/>
    <w:charset w:val="00"/>
    <w:family w:val="auto"/>
    <w:pitch w:val="default"/>
    <w:sig w:usb0="00000000" w:usb1="00000000" w:usb2="00000000" w:usb3="00000000" w:csb0="00000000" w:csb1="00000000"/>
  </w:font>
  <w:font w:name="方正舒体">
    <w:altName w:val="宋体"/>
    <w:panose1 w:val="02010601030101010101"/>
    <w:charset w:val="86"/>
    <w:family w:val="auto"/>
    <w:pitch w:val="default"/>
    <w:sig w:usb0="00000000" w:usb1="00000000" w:usb2="00000000" w:usb3="00000000" w:csb0="00040000" w:csb1="00000000"/>
  </w:font>
  <w:font w:name="Noto Sans CJK JP Black">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serif">
    <w:altName w:val="Segoe Print"/>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80"/>
    <w:family w:val="auto"/>
    <w:pitch w:val="default"/>
    <w:sig w:usb0="00000000" w:usb1="00000000" w:usb2="00000010" w:usb3="00000000" w:csb0="00060000" w:csb1="00000000"/>
  </w:font>
  <w:font w:name="Helvetica Neue">
    <w:altName w:val="Helvetica"/>
    <w:panose1 w:val="00000000000000000000"/>
    <w:charset w:val="00"/>
    <w:family w:val="auto"/>
    <w:pitch w:val="default"/>
    <w:sig w:usb0="00000000" w:usb1="00000000" w:usb2="00000000" w:usb3="00000000" w:csb0="00000000" w:csb1="00000000"/>
  </w:font>
  <w:font w:name="Helvetica">
    <w:panose1 w:val="020B0504020202030204"/>
    <w:charset w:val="00"/>
    <w:family w:val="auto"/>
    <w:pitch w:val="default"/>
    <w:sig w:usb0="00000007" w:usb1="00000000" w:usb2="00000000" w:usb3="00000000" w:csb0="00000093" w:csb1="00000000"/>
  </w:font>
  <w:font w:name="DengXian-Bold">
    <w:altName w:val="AMGDT"/>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MS Mincho">
    <w:altName w:val="MS Gothic"/>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TimesNewRomanPS-BoldMT">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afterLines="0"/>
      <w:ind w:right="360" w:firstLine="360"/>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hDeMVAgAAFQQAAA4AAABkcnMvZTJvRG9jLnhtbK1Ty47TMBTdI/EP&#10;lvc0aYFR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GEs0UdnT68f308+H06xvBHQhqrZ8hbmMRGbp3psOih3uPy4i7&#10;q5yKXyAi8IPq44Ve0QXCY9J0Mp3mcHH4hh/Uzx7TrfPhvTCKRKOgDvtLtLLD2oc+dAiJ3bRZNVKm&#10;HUpNWoB4/T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hDeM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bottom w:val="single" w:color="auto" w:sz="4"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B7FCD5"/>
    <w:multiLevelType w:val="singleLevel"/>
    <w:tmpl w:val="EDB7FCD5"/>
    <w:lvl w:ilvl="0" w:tentative="0">
      <w:start w:val="3"/>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lvl>
  </w:abstractNum>
  <w:abstractNum w:abstractNumId="3">
    <w:nsid w:val="6D19B5EA"/>
    <w:multiLevelType w:val="singleLevel"/>
    <w:tmpl w:val="6D19B5EA"/>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5769D"/>
    <w:rsid w:val="00860ECC"/>
    <w:rsid w:val="01367D84"/>
    <w:rsid w:val="017D0BAC"/>
    <w:rsid w:val="01A7655E"/>
    <w:rsid w:val="01BD1FE9"/>
    <w:rsid w:val="02977946"/>
    <w:rsid w:val="02C54C35"/>
    <w:rsid w:val="0332532D"/>
    <w:rsid w:val="03BC205B"/>
    <w:rsid w:val="03F46567"/>
    <w:rsid w:val="0471197A"/>
    <w:rsid w:val="04B619E4"/>
    <w:rsid w:val="04DE629D"/>
    <w:rsid w:val="051E0AF9"/>
    <w:rsid w:val="052D4E19"/>
    <w:rsid w:val="053417DF"/>
    <w:rsid w:val="05861620"/>
    <w:rsid w:val="060E5773"/>
    <w:rsid w:val="073044D1"/>
    <w:rsid w:val="07733BE5"/>
    <w:rsid w:val="08691AC5"/>
    <w:rsid w:val="08F80C78"/>
    <w:rsid w:val="09EC2FF4"/>
    <w:rsid w:val="0AE54CD1"/>
    <w:rsid w:val="0B2C6E72"/>
    <w:rsid w:val="0B387E93"/>
    <w:rsid w:val="0B3F197D"/>
    <w:rsid w:val="0C844276"/>
    <w:rsid w:val="0D15350E"/>
    <w:rsid w:val="0D6C47D4"/>
    <w:rsid w:val="0D7A48C8"/>
    <w:rsid w:val="0D7D2F82"/>
    <w:rsid w:val="0E6B2A97"/>
    <w:rsid w:val="0FD64F0C"/>
    <w:rsid w:val="0FF10DE9"/>
    <w:rsid w:val="107E5F36"/>
    <w:rsid w:val="109117B7"/>
    <w:rsid w:val="10B11419"/>
    <w:rsid w:val="113D3B56"/>
    <w:rsid w:val="11F441AE"/>
    <w:rsid w:val="12205CFC"/>
    <w:rsid w:val="12590EE9"/>
    <w:rsid w:val="12693061"/>
    <w:rsid w:val="13D05520"/>
    <w:rsid w:val="14423785"/>
    <w:rsid w:val="14444C64"/>
    <w:rsid w:val="149D4FA6"/>
    <w:rsid w:val="14C52F73"/>
    <w:rsid w:val="14CE2346"/>
    <w:rsid w:val="150617E2"/>
    <w:rsid w:val="15F968AE"/>
    <w:rsid w:val="163538E8"/>
    <w:rsid w:val="168A195D"/>
    <w:rsid w:val="168B02EC"/>
    <w:rsid w:val="168B6CD9"/>
    <w:rsid w:val="16961D52"/>
    <w:rsid w:val="172C49E3"/>
    <w:rsid w:val="179C30FE"/>
    <w:rsid w:val="17C943B7"/>
    <w:rsid w:val="17F3761E"/>
    <w:rsid w:val="193A0160"/>
    <w:rsid w:val="1969357D"/>
    <w:rsid w:val="1A2B629C"/>
    <w:rsid w:val="1A7F0811"/>
    <w:rsid w:val="1C114472"/>
    <w:rsid w:val="1C224902"/>
    <w:rsid w:val="1C8E2E8F"/>
    <w:rsid w:val="1D3C373F"/>
    <w:rsid w:val="1D5D50D3"/>
    <w:rsid w:val="1D6B7C5F"/>
    <w:rsid w:val="1E0176BB"/>
    <w:rsid w:val="1E1D39DF"/>
    <w:rsid w:val="1E8E4E66"/>
    <w:rsid w:val="1EED2B02"/>
    <w:rsid w:val="1F105DA0"/>
    <w:rsid w:val="1FC701AB"/>
    <w:rsid w:val="1FE2500B"/>
    <w:rsid w:val="207A4B81"/>
    <w:rsid w:val="210522FE"/>
    <w:rsid w:val="212C36E0"/>
    <w:rsid w:val="223D59DE"/>
    <w:rsid w:val="22EF57EC"/>
    <w:rsid w:val="23B90BE1"/>
    <w:rsid w:val="23D9081D"/>
    <w:rsid w:val="24B05DC6"/>
    <w:rsid w:val="24E969A8"/>
    <w:rsid w:val="252734AA"/>
    <w:rsid w:val="25F90EFB"/>
    <w:rsid w:val="260C4038"/>
    <w:rsid w:val="261C5095"/>
    <w:rsid w:val="26316E73"/>
    <w:rsid w:val="269F549E"/>
    <w:rsid w:val="26E31BFB"/>
    <w:rsid w:val="2867768D"/>
    <w:rsid w:val="28E74E68"/>
    <w:rsid w:val="2A527567"/>
    <w:rsid w:val="2AAA1004"/>
    <w:rsid w:val="2B4601C8"/>
    <w:rsid w:val="2B6F254B"/>
    <w:rsid w:val="2BB1430A"/>
    <w:rsid w:val="2BDA2FB2"/>
    <w:rsid w:val="2C615D7F"/>
    <w:rsid w:val="2C7F48C7"/>
    <w:rsid w:val="2CE87D29"/>
    <w:rsid w:val="2D3A17CD"/>
    <w:rsid w:val="2D916C28"/>
    <w:rsid w:val="2EAB0724"/>
    <w:rsid w:val="2EFF086E"/>
    <w:rsid w:val="2F186DC6"/>
    <w:rsid w:val="2F2771A0"/>
    <w:rsid w:val="2F416820"/>
    <w:rsid w:val="2F6D3C3B"/>
    <w:rsid w:val="2FE25B75"/>
    <w:rsid w:val="303C125A"/>
    <w:rsid w:val="310643DA"/>
    <w:rsid w:val="310E33C3"/>
    <w:rsid w:val="314E167B"/>
    <w:rsid w:val="318E778D"/>
    <w:rsid w:val="33E4796F"/>
    <w:rsid w:val="34723C7D"/>
    <w:rsid w:val="35226CBA"/>
    <w:rsid w:val="357E50F5"/>
    <w:rsid w:val="37354660"/>
    <w:rsid w:val="37D20D59"/>
    <w:rsid w:val="388C0A03"/>
    <w:rsid w:val="39533054"/>
    <w:rsid w:val="39A03C1A"/>
    <w:rsid w:val="39EB10DA"/>
    <w:rsid w:val="3AD87498"/>
    <w:rsid w:val="3B1A4644"/>
    <w:rsid w:val="3B345812"/>
    <w:rsid w:val="3B7A01B1"/>
    <w:rsid w:val="3B92739C"/>
    <w:rsid w:val="3BD73354"/>
    <w:rsid w:val="3BD85E8A"/>
    <w:rsid w:val="3C2320A3"/>
    <w:rsid w:val="3C5C32AD"/>
    <w:rsid w:val="3C6134CC"/>
    <w:rsid w:val="3CA60E6F"/>
    <w:rsid w:val="3D0E14E1"/>
    <w:rsid w:val="3D6C2199"/>
    <w:rsid w:val="3DD71F21"/>
    <w:rsid w:val="3DD825FB"/>
    <w:rsid w:val="3DDC654B"/>
    <w:rsid w:val="3E6327CC"/>
    <w:rsid w:val="3F245E78"/>
    <w:rsid w:val="3F3324CA"/>
    <w:rsid w:val="40582A3C"/>
    <w:rsid w:val="40DC3532"/>
    <w:rsid w:val="40F80174"/>
    <w:rsid w:val="41290FD7"/>
    <w:rsid w:val="41D06DB8"/>
    <w:rsid w:val="42316D5B"/>
    <w:rsid w:val="426C7E01"/>
    <w:rsid w:val="449E0D61"/>
    <w:rsid w:val="45140A56"/>
    <w:rsid w:val="45DB1148"/>
    <w:rsid w:val="46AE38AF"/>
    <w:rsid w:val="4721277A"/>
    <w:rsid w:val="478D152F"/>
    <w:rsid w:val="47F00428"/>
    <w:rsid w:val="494D5D20"/>
    <w:rsid w:val="49D94642"/>
    <w:rsid w:val="4A34721A"/>
    <w:rsid w:val="4A7F537F"/>
    <w:rsid w:val="4AA363BD"/>
    <w:rsid w:val="4AF35C9A"/>
    <w:rsid w:val="4B74558A"/>
    <w:rsid w:val="4B8C589D"/>
    <w:rsid w:val="4BA73AFE"/>
    <w:rsid w:val="4BAE467D"/>
    <w:rsid w:val="4BE53FF2"/>
    <w:rsid w:val="4C300098"/>
    <w:rsid w:val="4C736794"/>
    <w:rsid w:val="4C9A18F8"/>
    <w:rsid w:val="4CC36F57"/>
    <w:rsid w:val="4CDF2427"/>
    <w:rsid w:val="4DA104DB"/>
    <w:rsid w:val="4DAD2AFE"/>
    <w:rsid w:val="4F09555C"/>
    <w:rsid w:val="4F0F3844"/>
    <w:rsid w:val="4F722C00"/>
    <w:rsid w:val="4F872750"/>
    <w:rsid w:val="505E2FB2"/>
    <w:rsid w:val="50964276"/>
    <w:rsid w:val="50AE4015"/>
    <w:rsid w:val="50F14E29"/>
    <w:rsid w:val="514B3B20"/>
    <w:rsid w:val="517B13DE"/>
    <w:rsid w:val="51CC035C"/>
    <w:rsid w:val="52241502"/>
    <w:rsid w:val="526D448B"/>
    <w:rsid w:val="528C421B"/>
    <w:rsid w:val="52A171D8"/>
    <w:rsid w:val="53187245"/>
    <w:rsid w:val="53643591"/>
    <w:rsid w:val="53B37C79"/>
    <w:rsid w:val="54007D2C"/>
    <w:rsid w:val="54BA4BEB"/>
    <w:rsid w:val="562E7140"/>
    <w:rsid w:val="566429FE"/>
    <w:rsid w:val="574936FC"/>
    <w:rsid w:val="57CA0B05"/>
    <w:rsid w:val="57F93497"/>
    <w:rsid w:val="59796C48"/>
    <w:rsid w:val="59A8766B"/>
    <w:rsid w:val="59C213AF"/>
    <w:rsid w:val="5A5F2DAA"/>
    <w:rsid w:val="5AB71ECA"/>
    <w:rsid w:val="5B8C3679"/>
    <w:rsid w:val="5BA641A6"/>
    <w:rsid w:val="5BAC7D6B"/>
    <w:rsid w:val="5CBD2DA1"/>
    <w:rsid w:val="5CEE09AC"/>
    <w:rsid w:val="5D1815DC"/>
    <w:rsid w:val="5E3122B8"/>
    <w:rsid w:val="5E4451F4"/>
    <w:rsid w:val="5E723E07"/>
    <w:rsid w:val="5F8C41E4"/>
    <w:rsid w:val="5FBD2937"/>
    <w:rsid w:val="60496EF6"/>
    <w:rsid w:val="60B531CD"/>
    <w:rsid w:val="60E00001"/>
    <w:rsid w:val="611C59D6"/>
    <w:rsid w:val="61470BE8"/>
    <w:rsid w:val="617307D6"/>
    <w:rsid w:val="620364C8"/>
    <w:rsid w:val="62D822F7"/>
    <w:rsid w:val="64B9102D"/>
    <w:rsid w:val="64C5218C"/>
    <w:rsid w:val="65F95DD7"/>
    <w:rsid w:val="660754B0"/>
    <w:rsid w:val="668239BE"/>
    <w:rsid w:val="66BD27F4"/>
    <w:rsid w:val="67204D6A"/>
    <w:rsid w:val="68810274"/>
    <w:rsid w:val="689C7725"/>
    <w:rsid w:val="695139D6"/>
    <w:rsid w:val="69F543F0"/>
    <w:rsid w:val="6AA83360"/>
    <w:rsid w:val="6AAD7B2A"/>
    <w:rsid w:val="6B1804AF"/>
    <w:rsid w:val="6B214FDF"/>
    <w:rsid w:val="6BAE4AD6"/>
    <w:rsid w:val="6BE90BE4"/>
    <w:rsid w:val="6C6F076F"/>
    <w:rsid w:val="6C7E05D2"/>
    <w:rsid w:val="6C982186"/>
    <w:rsid w:val="6D2306E0"/>
    <w:rsid w:val="6DC62104"/>
    <w:rsid w:val="6DF14842"/>
    <w:rsid w:val="6E946991"/>
    <w:rsid w:val="6EC60E34"/>
    <w:rsid w:val="6F56326B"/>
    <w:rsid w:val="6FA35713"/>
    <w:rsid w:val="6FB06F83"/>
    <w:rsid w:val="6FFF385A"/>
    <w:rsid w:val="703B5442"/>
    <w:rsid w:val="70B50430"/>
    <w:rsid w:val="71C20045"/>
    <w:rsid w:val="72985B0B"/>
    <w:rsid w:val="72E526DB"/>
    <w:rsid w:val="749B574F"/>
    <w:rsid w:val="75591809"/>
    <w:rsid w:val="755D6773"/>
    <w:rsid w:val="757E1F4F"/>
    <w:rsid w:val="77A1156C"/>
    <w:rsid w:val="77B2490E"/>
    <w:rsid w:val="792B0A89"/>
    <w:rsid w:val="795A6F7F"/>
    <w:rsid w:val="79A6533C"/>
    <w:rsid w:val="79E254FC"/>
    <w:rsid w:val="7A575CA4"/>
    <w:rsid w:val="7AD551A5"/>
    <w:rsid w:val="7B581016"/>
    <w:rsid w:val="7BFF3704"/>
    <w:rsid w:val="7C144C86"/>
    <w:rsid w:val="7C1B55EF"/>
    <w:rsid w:val="7C836028"/>
    <w:rsid w:val="7C9454D1"/>
    <w:rsid w:val="7CBE2A20"/>
    <w:rsid w:val="7D53007E"/>
    <w:rsid w:val="7DB24A7F"/>
    <w:rsid w:val="7DBE7932"/>
    <w:rsid w:val="7DF526B1"/>
    <w:rsid w:val="7E4A21C6"/>
    <w:rsid w:val="7EAD31A8"/>
    <w:rsid w:val="7EAE0638"/>
    <w:rsid w:val="7EF31644"/>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6"/>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link w:val="19"/>
    <w:semiHidden/>
    <w:qFormat/>
    <w:uiPriority w:val="0"/>
    <w:rPr>
      <w:rFonts w:ascii="宋体" w:hAnsi="宋体" w:cs="宋体"/>
      <w:szCs w:val="24"/>
    </w:rPr>
  </w:style>
  <w:style w:type="table" w:default="1" w:styleId="24">
    <w:name w:val="Normal Table"/>
    <w:semiHidden/>
    <w:qFormat/>
    <w:uiPriority w:val="0"/>
    <w:tblPr>
      <w:tblLayout w:type="fixed"/>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caption"/>
    <w:basedOn w:val="1"/>
    <w:next w:val="1"/>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qFormat/>
    <w:uiPriority w:val="0"/>
    <w:pPr>
      <w:spacing w:line="480" w:lineRule="auto"/>
    </w:pPr>
    <w:rPr>
      <w:b/>
      <w:bCs/>
      <w:sz w:val="24"/>
    </w:rPr>
  </w:style>
  <w:style w:type="paragraph" w:styleId="11">
    <w:name w:val="Body Text Indent"/>
    <w:basedOn w:val="1"/>
    <w:qFormat/>
    <w:uiPriority w:val="0"/>
    <w:pPr>
      <w:spacing w:line="360" w:lineRule="auto"/>
      <w:ind w:firstLine="480" w:firstLineChars="200"/>
    </w:pPr>
    <w:rPr>
      <w:sz w:val="24"/>
    </w:rPr>
  </w:style>
  <w:style w:type="paragraph" w:styleId="12">
    <w:name w:val="Block Text"/>
    <w:basedOn w:val="1"/>
    <w:unhideWhenUsed/>
    <w:qFormat/>
    <w:uiPriority w:val="0"/>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sz w:val="21"/>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Body Text First Indent 2"/>
    <w:basedOn w:val="1"/>
    <w:next w:val="1"/>
    <w:qFormat/>
    <w:uiPriority w:val="0"/>
    <w:pPr>
      <w:spacing w:after="120"/>
      <w:ind w:left="420" w:leftChars="200" w:firstLine="420"/>
    </w:pPr>
    <w:rPr>
      <w:rFonts w:ascii="Times New Roman" w:hAnsi="Times New Roman" w:eastAsia="宋体"/>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9">
    <w:name w:val=" Char Char1 Char"/>
    <w:basedOn w:val="1"/>
    <w:link w:val="18"/>
    <w:qFormat/>
    <w:uiPriority w:val="0"/>
    <w:pPr>
      <w:spacing w:line="360" w:lineRule="auto"/>
      <w:ind w:firstLine="200" w:firstLineChars="200"/>
    </w:pPr>
    <w:rPr>
      <w:rFonts w:ascii="宋体" w:hAnsi="宋体" w:cs="宋体"/>
      <w:szCs w:val="24"/>
    </w:rPr>
  </w:style>
  <w:style w:type="character" w:styleId="20">
    <w:name w:val="Strong"/>
    <w:basedOn w:val="18"/>
    <w:qFormat/>
    <w:uiPriority w:val="22"/>
    <w:rPr>
      <w:b/>
      <w:bCs/>
    </w:rPr>
  </w:style>
  <w:style w:type="character" w:styleId="21">
    <w:name w:val="page number"/>
    <w:basedOn w:val="18"/>
    <w:qFormat/>
    <w:uiPriority w:val="0"/>
  </w:style>
  <w:style w:type="character" w:styleId="22">
    <w:name w:val="Hyperlink"/>
    <w:basedOn w:val="18"/>
    <w:qFormat/>
    <w:uiPriority w:val="0"/>
    <w:rPr>
      <w:color w:val="0000FF"/>
      <w:u w:val="single"/>
    </w:rPr>
  </w:style>
  <w:style w:type="character" w:styleId="23">
    <w:name w:val="annotation reference"/>
    <w:qFormat/>
    <w:uiPriority w:val="0"/>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7">
    <w:name w:val="page number"/>
    <w:basedOn w:val="18"/>
    <w:qFormat/>
    <w:uiPriority w:val="0"/>
  </w:style>
  <w:style w:type="paragraph" w:customStyle="1" w:styleId="28">
    <w:name w:val="封面 下内容"/>
    <w:basedOn w:val="1"/>
    <w:qFormat/>
    <w:uiPriority w:val="0"/>
    <w:pPr>
      <w:spacing w:line="240" w:lineRule="auto"/>
      <w:ind w:firstLine="0" w:firstLineChars="0"/>
      <w:jc w:val="right"/>
    </w:pPr>
    <w:rPr>
      <w:sz w:val="28"/>
    </w:r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中文报告书样式"/>
    <w:basedOn w:val="1"/>
    <w:qFormat/>
    <w:uiPriority w:val="0"/>
    <w:pPr>
      <w:adjustRightInd w:val="0"/>
      <w:spacing w:line="480" w:lineRule="atLeast"/>
      <w:ind w:firstLine="482"/>
      <w:textAlignment w:val="baseline"/>
    </w:pPr>
    <w:rPr>
      <w:kern w:val="24"/>
      <w:sz w:val="24"/>
    </w:rPr>
  </w:style>
  <w:style w:type="paragraph" w:customStyle="1" w:styleId="31">
    <w:name w:val="报告表正文"/>
    <w:basedOn w:val="1"/>
    <w:qFormat/>
    <w:uiPriority w:val="0"/>
    <w:pPr>
      <w:spacing w:line="360" w:lineRule="auto"/>
      <w:ind w:firstLine="200" w:firstLineChars="200"/>
    </w:pPr>
    <w:rPr>
      <w:rFonts w:eastAsia="楷体_GB2312"/>
      <w:sz w:val="24"/>
      <w:szCs w:val="24"/>
    </w:rPr>
  </w:style>
  <w:style w:type="paragraph" w:customStyle="1" w:styleId="32">
    <w:name w:val="表内格式"/>
    <w:basedOn w:val="1"/>
    <w:qFormat/>
    <w:uiPriority w:val="0"/>
    <w:pPr>
      <w:spacing w:line="240" w:lineRule="exact"/>
      <w:jc w:val="center"/>
    </w:pPr>
    <w:rPr>
      <w:rFonts w:ascii="宋体" w:hAnsi="宋体"/>
      <w:sz w:val="21"/>
    </w:rPr>
  </w:style>
  <w:style w:type="paragraph" w:customStyle="1" w:styleId="33">
    <w:name w:val="0"/>
    <w:basedOn w:val="1"/>
    <w:qFormat/>
    <w:uiPriority w:val="0"/>
    <w:pPr>
      <w:widowControl/>
      <w:snapToGrid w:val="0"/>
      <w:jc w:val="left"/>
    </w:pPr>
    <w:rPr>
      <w:kern w:val="0"/>
      <w:sz w:val="28"/>
      <w:szCs w:val="20"/>
    </w:rPr>
  </w:style>
  <w:style w:type="paragraph" w:customStyle="1" w:styleId="34">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5">
    <w:name w:val="三同时样式"/>
    <w:basedOn w:val="1"/>
    <w:qFormat/>
    <w:uiPriority w:val="0"/>
    <w:pPr>
      <w:spacing w:line="240" w:lineRule="auto"/>
      <w:ind w:firstLine="0" w:firstLineChars="0"/>
      <w:jc w:val="center"/>
    </w:pPr>
    <w:rPr>
      <w:b/>
      <w:sz w:val="18"/>
      <w:szCs w:val="18"/>
    </w:rPr>
  </w:style>
  <w:style w:type="character" w:customStyle="1" w:styleId="36">
    <w:name w:val="标题 1 Char"/>
    <w:link w:val="2"/>
    <w:qFormat/>
    <w:uiPriority w:val="0"/>
    <w:rPr>
      <w:b/>
      <w:kern w:val="44"/>
      <w:sz w:val="28"/>
    </w:rPr>
  </w:style>
  <w:style w:type="paragraph" w:customStyle="1" w:styleId="37">
    <w:name w:val="表格"/>
    <w:basedOn w:val="1"/>
    <w:qFormat/>
    <w:uiPriority w:val="0"/>
    <w:pPr>
      <w:keepNext/>
      <w:adjustRightInd w:val="0"/>
      <w:spacing w:line="312" w:lineRule="atLeast"/>
      <w:jc w:val="center"/>
      <w:textAlignment w:val="baseline"/>
    </w:pPr>
    <w:rPr>
      <w:kern w:val="0"/>
    </w:rPr>
  </w:style>
  <w:style w:type="paragraph" w:customStyle="1" w:styleId="38">
    <w:name w:val="样式1"/>
    <w:basedOn w:val="16"/>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39">
    <w:name w:val="段落"/>
    <w:basedOn w:val="13"/>
    <w:qFormat/>
    <w:uiPriority w:val="0"/>
    <w:pPr>
      <w:spacing w:line="500" w:lineRule="exact"/>
      <w:ind w:firstLine="578"/>
    </w:pPr>
    <w:rPr>
      <w:rFonts w:ascii="Times New Roman" w:hAnsi="Times New Roman"/>
      <w:sz w:val="28"/>
      <w:szCs w:val="24"/>
    </w:rPr>
  </w:style>
  <w:style w:type="paragraph" w:customStyle="1" w:styleId="40">
    <w:name w:val="p0"/>
    <w:basedOn w:val="1"/>
    <w:qFormat/>
    <w:uiPriority w:val="0"/>
    <w:pPr>
      <w:widowControl/>
    </w:pPr>
    <w:rPr>
      <w:kern w:val="0"/>
      <w:szCs w:val="24"/>
    </w:rPr>
  </w:style>
  <w:style w:type="paragraph" w:customStyle="1" w:styleId="4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2">
    <w:name w:val="0正文"/>
    <w:qFormat/>
    <w:uiPriority w:val="99"/>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43">
    <w:name w:val="表中文字1"/>
    <w:qFormat/>
    <w:uiPriority w:val="0"/>
    <w:pPr>
      <w:widowControl w:val="0"/>
      <w:adjustRightInd w:val="0"/>
      <w:snapToGrid w:val="0"/>
      <w:jc w:val="center"/>
    </w:pPr>
    <w:rPr>
      <w:rFonts w:ascii="Times New Roman" w:hAnsi="Times New Roman" w:eastAsia="宋体" w:cs="Times New Roman"/>
      <w:color w:val="000000"/>
      <w:kern w:val="2"/>
      <w:sz w:val="21"/>
      <w:szCs w:val="24"/>
      <w:lang w:val="en-US" w:eastAsia="zh-CN" w:bidi="ar-SA"/>
    </w:rPr>
  </w:style>
  <w:style w:type="character" w:customStyle="1" w:styleId="44">
    <w:name w:val="15"/>
    <w:basedOn w:val="18"/>
    <w:qFormat/>
    <w:uiPriority w:val="0"/>
    <w:rPr>
      <w:rFonts w:hint="eastAsia" w:ascii="宋体" w:hAnsi="宋体" w:eastAsia="宋体" w:cs="宋体"/>
      <w:color w:val="000000"/>
      <w:sz w:val="20"/>
      <w:szCs w:val="20"/>
    </w:rPr>
  </w:style>
  <w:style w:type="character" w:customStyle="1" w:styleId="45">
    <w:name w:val="NormalCharacter"/>
    <w:semiHidden/>
    <w:qFormat/>
    <w:uiPriority w:val="0"/>
    <w:rPr>
      <w:kern w:val="2"/>
      <w:sz w:val="21"/>
      <w:szCs w:val="24"/>
      <w:lang w:val="en-US" w:eastAsia="zh-CN" w:bidi="ar-SA"/>
    </w:rPr>
  </w:style>
  <w:style w:type="character" w:customStyle="1" w:styleId="46">
    <w:name w:val="21"/>
    <w:basedOn w:val="18"/>
    <w:qFormat/>
    <w:uiPriority w:val="0"/>
    <w:rPr>
      <w:rFonts w:hint="default" w:ascii="Times New Roman" w:hAnsi="Times New Roman" w:cs="Times New Roman"/>
      <w:color w:val="000000"/>
      <w:sz w:val="21"/>
      <w:szCs w:val="21"/>
    </w:rPr>
  </w:style>
  <w:style w:type="character" w:customStyle="1" w:styleId="47">
    <w:name w:val="18"/>
    <w:basedOn w:val="18"/>
    <w:qFormat/>
    <w:uiPriority w:val="0"/>
    <w:rPr>
      <w:rFonts w:hint="eastAsia" w:ascii="宋体" w:hAnsi="宋体" w:eastAsia="宋体" w:cs="宋体"/>
      <w:color w:val="000000"/>
      <w:sz w:val="20"/>
      <w:szCs w:val="20"/>
    </w:rPr>
  </w:style>
  <w:style w:type="character" w:customStyle="1" w:styleId="48">
    <w:name w:val="font21"/>
    <w:basedOn w:val="18"/>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2018-09-05T09:43:00Z</cp:lastPrinted>
  <dcterms:modified xsi:type="dcterms:W3CDTF">2022-09-16T09:54:29Z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